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757585314"/>
        <w:docPartObj>
          <w:docPartGallery w:val="Cover Pages"/>
          <w:docPartUnique/>
        </w:docPartObj>
      </w:sdtPr>
      <w:sdtEndPr/>
      <w:sdtContent>
        <w:p w:rsidR="0065338E" w:rsidRDefault="0065338E" w:rsidP="00524508">
          <w:pPr>
            <w:jc w:val="center"/>
          </w:pPr>
        </w:p>
        <w:p w:rsidR="0065338E" w:rsidRDefault="0051119F"/>
      </w:sdtContent>
    </w:sdt>
    <w:p w:rsidR="0065338E" w:rsidRDefault="0065338E"/>
    <w:tbl>
      <w:tblPr>
        <w:tblW w:w="11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3"/>
        <w:gridCol w:w="6219"/>
      </w:tblGrid>
      <w:tr w:rsidR="00DD75CA" w:rsidRPr="00501685">
        <w:trPr>
          <w:jc w:val="center"/>
        </w:trPr>
        <w:tc>
          <w:tcPr>
            <w:tcW w:w="5423" w:type="dxa"/>
          </w:tcPr>
          <w:p w:rsidR="00DD75CA" w:rsidRPr="00501685" w:rsidRDefault="00DD75CA" w:rsidP="003646D1">
            <w:pPr>
              <w:pStyle w:val="Header"/>
              <w:tabs>
                <w:tab w:val="clear" w:pos="4513"/>
                <w:tab w:val="clear" w:pos="9026"/>
              </w:tabs>
              <w:rPr>
                <w:noProof/>
                <w:lang w:eastAsia="en-GB"/>
              </w:rP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68580</wp:posOffset>
                  </wp:positionV>
                  <wp:extent cx="3190875" cy="927100"/>
                  <wp:effectExtent l="0" t="0" r="9525" b="6350"/>
                  <wp:wrapSquare wrapText="bothSides"/>
                  <wp:docPr id="4" name="Picture 3" descr="NCSAB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SAB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927100"/>
                          </a:xfrm>
                          <a:prstGeom prst="rect">
                            <a:avLst/>
                          </a:prstGeom>
                          <a:noFill/>
                        </pic:spPr>
                      </pic:pic>
                    </a:graphicData>
                  </a:graphic>
                </wp:anchor>
              </w:drawing>
            </w:r>
          </w:p>
        </w:tc>
        <w:tc>
          <w:tcPr>
            <w:tcW w:w="6219" w:type="dxa"/>
          </w:tcPr>
          <w:p w:rsidR="00DD75CA" w:rsidRPr="00501685" w:rsidRDefault="00DD75CA" w:rsidP="00DD75CA">
            <w:pPr>
              <w:keepNext/>
              <w:keepLines/>
              <w:spacing w:before="40" w:after="0" w:line="240" w:lineRule="auto"/>
              <w:ind w:left="665" w:hanging="632"/>
              <w:jc w:val="center"/>
              <w:outlineLvl w:val="1"/>
              <w:rPr>
                <w:rFonts w:ascii="Arial Black" w:hAnsi="Arial Black"/>
                <w:b/>
                <w:sz w:val="24"/>
                <w:szCs w:val="24"/>
              </w:rPr>
            </w:pPr>
            <w:r w:rsidRPr="00501685">
              <w:rPr>
                <w:rFonts w:ascii="Arial Black" w:hAnsi="Arial Black"/>
                <w:b/>
                <w:sz w:val="24"/>
                <w:szCs w:val="24"/>
              </w:rPr>
              <w:t>Nottingham City Safeguarding Adults Board.</w:t>
            </w:r>
          </w:p>
          <w:p w:rsidR="00DD75CA" w:rsidRPr="00501685" w:rsidRDefault="00DD75CA" w:rsidP="00DD75CA">
            <w:pPr>
              <w:keepNext/>
              <w:keepLines/>
              <w:spacing w:before="40" w:after="0" w:line="240" w:lineRule="auto"/>
              <w:ind w:left="665" w:hanging="632"/>
              <w:jc w:val="center"/>
              <w:outlineLvl w:val="1"/>
              <w:rPr>
                <w:rFonts w:ascii="Arial Black" w:hAnsi="Arial Black"/>
                <w:b/>
                <w:sz w:val="24"/>
                <w:szCs w:val="24"/>
              </w:rPr>
            </w:pPr>
            <w:r w:rsidRPr="00501685">
              <w:rPr>
                <w:rFonts w:ascii="Arial Black" w:hAnsi="Arial Black"/>
                <w:b/>
                <w:sz w:val="24"/>
                <w:szCs w:val="24"/>
              </w:rPr>
              <w:t xml:space="preserve">Annual Action </w:t>
            </w:r>
            <w:r w:rsidR="00B743C3">
              <w:rPr>
                <w:rFonts w:ascii="Arial Black" w:hAnsi="Arial Black"/>
                <w:b/>
                <w:sz w:val="24"/>
                <w:szCs w:val="24"/>
              </w:rPr>
              <w:t>P</w:t>
            </w:r>
            <w:r w:rsidRPr="00501685">
              <w:rPr>
                <w:rFonts w:ascii="Arial Black" w:hAnsi="Arial Black"/>
                <w:b/>
                <w:sz w:val="24"/>
                <w:szCs w:val="24"/>
              </w:rPr>
              <w:t>lan</w:t>
            </w:r>
          </w:p>
          <w:p w:rsidR="00DD75CA" w:rsidRPr="00501685" w:rsidRDefault="00DD75CA" w:rsidP="00DD75CA">
            <w:pPr>
              <w:keepNext/>
              <w:keepLines/>
              <w:spacing w:before="40" w:after="0" w:line="240" w:lineRule="auto"/>
              <w:ind w:left="665" w:hanging="632"/>
              <w:jc w:val="center"/>
              <w:outlineLvl w:val="1"/>
              <w:rPr>
                <w:rFonts w:ascii="Arial Black" w:hAnsi="Arial Black"/>
                <w:b/>
                <w:sz w:val="24"/>
                <w:szCs w:val="24"/>
              </w:rPr>
            </w:pPr>
            <w:r w:rsidRPr="00501685">
              <w:rPr>
                <w:rFonts w:ascii="Arial Black" w:hAnsi="Arial Black"/>
                <w:b/>
                <w:sz w:val="24"/>
                <w:szCs w:val="24"/>
              </w:rPr>
              <w:t xml:space="preserve">Year </w:t>
            </w:r>
            <w:r w:rsidR="00E86ABF">
              <w:rPr>
                <w:rFonts w:ascii="Arial Black" w:hAnsi="Arial Black"/>
                <w:b/>
                <w:sz w:val="24"/>
                <w:szCs w:val="24"/>
              </w:rPr>
              <w:t>3</w:t>
            </w:r>
            <w:r w:rsidRPr="00501685">
              <w:rPr>
                <w:rFonts w:ascii="Arial Black" w:hAnsi="Arial Black"/>
                <w:b/>
                <w:sz w:val="24"/>
                <w:szCs w:val="24"/>
              </w:rPr>
              <w:t xml:space="preserve"> (201</w:t>
            </w:r>
            <w:r w:rsidR="00E86ABF">
              <w:rPr>
                <w:rFonts w:ascii="Arial Black" w:hAnsi="Arial Black"/>
                <w:b/>
                <w:sz w:val="24"/>
                <w:szCs w:val="24"/>
              </w:rPr>
              <w:t>8</w:t>
            </w:r>
            <w:r w:rsidRPr="00501685">
              <w:rPr>
                <w:rFonts w:ascii="Arial Black" w:hAnsi="Arial Black"/>
                <w:b/>
                <w:sz w:val="24"/>
                <w:szCs w:val="24"/>
              </w:rPr>
              <w:t xml:space="preserve"> -201</w:t>
            </w:r>
            <w:r w:rsidR="00E86ABF">
              <w:rPr>
                <w:rFonts w:ascii="Arial Black" w:hAnsi="Arial Black"/>
                <w:b/>
                <w:sz w:val="24"/>
                <w:szCs w:val="24"/>
              </w:rPr>
              <w:t>9</w:t>
            </w:r>
            <w:r w:rsidRPr="00501685">
              <w:rPr>
                <w:rFonts w:ascii="Arial Black" w:hAnsi="Arial Black"/>
                <w:b/>
                <w:sz w:val="24"/>
                <w:szCs w:val="24"/>
              </w:rPr>
              <w:t>)</w:t>
            </w:r>
          </w:p>
          <w:p w:rsidR="00DD75CA" w:rsidRPr="00501685" w:rsidRDefault="00E86ABF" w:rsidP="00DD75CA">
            <w:pPr>
              <w:keepNext/>
              <w:keepLines/>
              <w:spacing w:before="40" w:after="0" w:line="240" w:lineRule="auto"/>
              <w:ind w:left="665" w:hanging="632"/>
              <w:jc w:val="center"/>
              <w:outlineLvl w:val="1"/>
              <w:rPr>
                <w:rFonts w:ascii="Calibri Light" w:hAnsi="Calibri Light"/>
                <w:b/>
                <w:sz w:val="24"/>
                <w:szCs w:val="24"/>
              </w:rPr>
            </w:pPr>
            <w:r>
              <w:rPr>
                <w:rFonts w:ascii="Arial Black" w:hAnsi="Arial Black"/>
                <w:b/>
                <w:sz w:val="24"/>
                <w:szCs w:val="24"/>
              </w:rPr>
              <w:t>Embedding</w:t>
            </w:r>
          </w:p>
          <w:p w:rsidR="00DD75CA" w:rsidRPr="00501685" w:rsidRDefault="00DD75CA" w:rsidP="00DD75CA">
            <w:pPr>
              <w:spacing w:after="0" w:line="240" w:lineRule="auto"/>
              <w:ind w:hanging="632"/>
              <w:jc w:val="center"/>
            </w:pPr>
          </w:p>
        </w:tc>
      </w:tr>
    </w:tbl>
    <w:p w:rsidR="00DD75CA" w:rsidRDefault="00DD75CA" w:rsidP="00DD75CA">
      <w:pPr>
        <w:jc w:val="center"/>
      </w:pPr>
    </w:p>
    <w:p w:rsidR="00DD75CA" w:rsidRDefault="006C370D" w:rsidP="00DD75CA">
      <w:pPr>
        <w:keepNext/>
        <w:keepLines/>
        <w:spacing w:before="40" w:after="0" w:line="240" w:lineRule="auto"/>
        <w:ind w:left="665" w:hanging="632"/>
        <w:jc w:val="center"/>
        <w:outlineLvl w:val="1"/>
        <w:rPr>
          <w:rFonts w:ascii="Arial Black" w:hAnsi="Arial Black"/>
          <w:b/>
          <w:sz w:val="24"/>
          <w:szCs w:val="24"/>
        </w:rPr>
      </w:pPr>
      <w:r>
        <w:rPr>
          <w:rFonts w:ascii="Arial Black" w:hAnsi="Arial Black"/>
          <w:b/>
          <w:sz w:val="24"/>
          <w:szCs w:val="24"/>
        </w:rPr>
        <w:t xml:space="preserve">Annual Action </w:t>
      </w:r>
      <w:r w:rsidR="00B743C3">
        <w:rPr>
          <w:rFonts w:ascii="Arial Black" w:hAnsi="Arial Black"/>
          <w:b/>
          <w:sz w:val="24"/>
          <w:szCs w:val="24"/>
        </w:rPr>
        <w:t>Plan</w:t>
      </w:r>
      <w:r w:rsidR="002A5996">
        <w:rPr>
          <w:rFonts w:ascii="Arial Black" w:hAnsi="Arial Black"/>
          <w:b/>
          <w:sz w:val="24"/>
          <w:szCs w:val="24"/>
        </w:rPr>
        <w:t xml:space="preserve"> for 2018-9</w:t>
      </w:r>
      <w:r>
        <w:rPr>
          <w:rFonts w:ascii="Arial Black" w:hAnsi="Arial Black"/>
          <w:b/>
          <w:sz w:val="24"/>
          <w:szCs w:val="24"/>
        </w:rPr>
        <w:t xml:space="preserve"> </w:t>
      </w:r>
      <w:r w:rsidR="007F5BA4">
        <w:rPr>
          <w:rFonts w:ascii="Arial Black" w:hAnsi="Arial Black"/>
          <w:b/>
          <w:sz w:val="24"/>
          <w:szCs w:val="24"/>
        </w:rPr>
        <w:t>–</w:t>
      </w:r>
      <w:r w:rsidR="00012E38">
        <w:rPr>
          <w:rFonts w:ascii="Arial Black" w:hAnsi="Arial Black"/>
          <w:b/>
          <w:sz w:val="24"/>
          <w:szCs w:val="24"/>
        </w:rPr>
        <w:t xml:space="preserve"> </w:t>
      </w:r>
      <w:r w:rsidR="00524508">
        <w:rPr>
          <w:rFonts w:ascii="Arial Black" w:hAnsi="Arial Black"/>
          <w:b/>
          <w:sz w:val="24"/>
          <w:szCs w:val="24"/>
        </w:rPr>
        <w:t xml:space="preserve">update </w:t>
      </w:r>
      <w:r w:rsidR="00BC15E8">
        <w:rPr>
          <w:rFonts w:ascii="Arial Black" w:hAnsi="Arial Black"/>
          <w:b/>
          <w:sz w:val="24"/>
          <w:szCs w:val="24"/>
        </w:rPr>
        <w:t xml:space="preserve">following BMG </w:t>
      </w:r>
      <w:r w:rsidR="007E2510">
        <w:rPr>
          <w:rFonts w:ascii="Arial Black" w:hAnsi="Arial Black"/>
          <w:b/>
          <w:sz w:val="24"/>
          <w:szCs w:val="24"/>
        </w:rPr>
        <w:t>11</w:t>
      </w:r>
      <w:r w:rsidR="007E2510" w:rsidRPr="007E2510">
        <w:rPr>
          <w:rFonts w:ascii="Arial Black" w:hAnsi="Arial Black"/>
          <w:b/>
          <w:sz w:val="24"/>
          <w:szCs w:val="24"/>
          <w:vertAlign w:val="superscript"/>
        </w:rPr>
        <w:t>th</w:t>
      </w:r>
      <w:r w:rsidR="007E2510">
        <w:rPr>
          <w:rFonts w:ascii="Arial Black" w:hAnsi="Arial Black"/>
          <w:b/>
          <w:sz w:val="24"/>
          <w:szCs w:val="24"/>
        </w:rPr>
        <w:t xml:space="preserve"> July </w:t>
      </w:r>
      <w:r w:rsidR="00BC15E8">
        <w:rPr>
          <w:rFonts w:ascii="Arial Black" w:hAnsi="Arial Black"/>
          <w:b/>
          <w:sz w:val="24"/>
          <w:szCs w:val="24"/>
        </w:rPr>
        <w:t>2018</w:t>
      </w:r>
    </w:p>
    <w:p w:rsidR="004169FF" w:rsidRDefault="004169FF" w:rsidP="00DD75CA">
      <w:pPr>
        <w:keepNext/>
        <w:keepLines/>
        <w:spacing w:before="40" w:after="0" w:line="240" w:lineRule="auto"/>
        <w:ind w:left="665" w:hanging="632"/>
        <w:jc w:val="center"/>
        <w:outlineLvl w:val="1"/>
        <w:rPr>
          <w:rFonts w:ascii="Arial Black" w:hAnsi="Arial Black"/>
          <w:b/>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2"/>
        <w:gridCol w:w="8234"/>
      </w:tblGrid>
      <w:tr w:rsidR="00DD75CA" w:rsidRPr="00501685">
        <w:trPr>
          <w:jc w:val="center"/>
        </w:trPr>
        <w:tc>
          <w:tcPr>
            <w:tcW w:w="9776" w:type="dxa"/>
            <w:gridSpan w:val="2"/>
            <w:shd w:val="clear" w:color="auto" w:fill="BFBFBF"/>
          </w:tcPr>
          <w:p w:rsidR="00DD75CA" w:rsidRPr="00501685" w:rsidRDefault="00DD75CA" w:rsidP="00DD75CA">
            <w:pPr>
              <w:spacing w:after="0" w:line="240" w:lineRule="auto"/>
              <w:jc w:val="center"/>
              <w:rPr>
                <w:rFonts w:ascii="Calibri Light" w:hAnsi="Calibri Light"/>
                <w:b/>
              </w:rPr>
            </w:pPr>
            <w:r w:rsidRPr="00501685">
              <w:rPr>
                <w:rFonts w:ascii="Calibri Light" w:hAnsi="Calibri Light"/>
                <w:b/>
              </w:rPr>
              <w:t>RAG Rating key</w:t>
            </w:r>
          </w:p>
          <w:p w:rsidR="00DD75CA" w:rsidRPr="00501685" w:rsidRDefault="00DD75CA" w:rsidP="00DD75CA">
            <w:pPr>
              <w:spacing w:after="0" w:line="240" w:lineRule="auto"/>
              <w:jc w:val="center"/>
            </w:pPr>
          </w:p>
        </w:tc>
      </w:tr>
      <w:tr w:rsidR="00DD75CA" w:rsidRPr="00501685">
        <w:trPr>
          <w:jc w:val="center"/>
        </w:trPr>
        <w:tc>
          <w:tcPr>
            <w:tcW w:w="1542" w:type="dxa"/>
            <w:vAlign w:val="center"/>
          </w:tcPr>
          <w:p w:rsidR="00DD75CA" w:rsidRPr="00501685" w:rsidRDefault="00DD75CA" w:rsidP="00DD75CA">
            <w:pPr>
              <w:spacing w:after="0" w:line="240" w:lineRule="auto"/>
              <w:jc w:val="center"/>
              <w:rPr>
                <w:rFonts w:ascii="Calibri Light" w:hAnsi="Calibri Light"/>
                <w:b/>
              </w:rPr>
            </w:pPr>
            <w:r w:rsidRPr="00501685">
              <w:rPr>
                <w:rFonts w:ascii="Calibri Light" w:hAnsi="Calibri Light"/>
                <w:b/>
              </w:rPr>
              <w:t>Clear</w:t>
            </w:r>
          </w:p>
        </w:tc>
        <w:tc>
          <w:tcPr>
            <w:tcW w:w="8234" w:type="dxa"/>
          </w:tcPr>
          <w:p w:rsidR="00DD75CA" w:rsidRPr="00501685" w:rsidRDefault="00DD75CA" w:rsidP="00DD75CA">
            <w:pPr>
              <w:spacing w:after="0" w:line="240" w:lineRule="auto"/>
              <w:jc w:val="center"/>
            </w:pPr>
            <w:r w:rsidRPr="00501685">
              <w:t>Work is underway and, in the judgment of the lead individual/subgroup is expected to be completed within the agreed timescale</w:t>
            </w:r>
          </w:p>
        </w:tc>
      </w:tr>
      <w:tr w:rsidR="00DD75CA" w:rsidRPr="00501685">
        <w:trPr>
          <w:jc w:val="center"/>
        </w:trPr>
        <w:tc>
          <w:tcPr>
            <w:tcW w:w="1542" w:type="dxa"/>
            <w:shd w:val="clear" w:color="auto" w:fill="FF0000"/>
            <w:vAlign w:val="center"/>
          </w:tcPr>
          <w:p w:rsidR="00DD75CA" w:rsidRPr="00501685" w:rsidRDefault="00DD75CA" w:rsidP="00DD75CA">
            <w:pPr>
              <w:spacing w:after="0" w:line="240" w:lineRule="auto"/>
              <w:jc w:val="center"/>
              <w:rPr>
                <w:rFonts w:ascii="Calibri Light" w:hAnsi="Calibri Light"/>
                <w:b/>
              </w:rPr>
            </w:pPr>
            <w:r w:rsidRPr="00501685">
              <w:rPr>
                <w:rFonts w:ascii="Calibri Light" w:hAnsi="Calibri Light"/>
                <w:b/>
              </w:rPr>
              <w:t>Red</w:t>
            </w:r>
          </w:p>
        </w:tc>
        <w:tc>
          <w:tcPr>
            <w:tcW w:w="8234" w:type="dxa"/>
          </w:tcPr>
          <w:p w:rsidR="00DD75CA" w:rsidRPr="00501685" w:rsidRDefault="00DD75CA" w:rsidP="00DD75CA">
            <w:pPr>
              <w:spacing w:after="0" w:line="240" w:lineRule="auto"/>
              <w:jc w:val="center"/>
            </w:pPr>
            <w:r w:rsidRPr="00501685">
              <w:t>Work is underway however, is not expected to be completed within the agreed timescale. In the judgement of the lead individual/subgroup either</w:t>
            </w:r>
          </w:p>
          <w:p w:rsidR="00DD75CA" w:rsidRPr="00501685" w:rsidRDefault="00DD75CA" w:rsidP="00DD75CA">
            <w:pPr>
              <w:numPr>
                <w:ilvl w:val="0"/>
                <w:numId w:val="3"/>
              </w:numPr>
              <w:spacing w:after="0" w:line="240" w:lineRule="auto"/>
              <w:contextualSpacing/>
              <w:jc w:val="center"/>
            </w:pPr>
            <w:r w:rsidRPr="00501685">
              <w:t>The deadline will be missed by more than three months and / or</w:t>
            </w:r>
          </w:p>
          <w:p w:rsidR="00DD75CA" w:rsidRPr="00501685" w:rsidRDefault="00DD75CA" w:rsidP="00DD75CA">
            <w:pPr>
              <w:numPr>
                <w:ilvl w:val="0"/>
                <w:numId w:val="3"/>
              </w:numPr>
              <w:spacing w:after="0" w:line="240" w:lineRule="auto"/>
              <w:contextualSpacing/>
              <w:jc w:val="center"/>
            </w:pPr>
            <w:r w:rsidRPr="00501685">
              <w:t>The impact of missing this deadline is likely to be significant</w:t>
            </w:r>
          </w:p>
        </w:tc>
      </w:tr>
      <w:tr w:rsidR="00DD75CA" w:rsidRPr="00501685">
        <w:trPr>
          <w:jc w:val="center"/>
        </w:trPr>
        <w:tc>
          <w:tcPr>
            <w:tcW w:w="1542" w:type="dxa"/>
            <w:shd w:val="clear" w:color="auto" w:fill="FFC000"/>
            <w:vAlign w:val="center"/>
          </w:tcPr>
          <w:p w:rsidR="00DD75CA" w:rsidRPr="00501685" w:rsidRDefault="00DD75CA" w:rsidP="00DD75CA">
            <w:pPr>
              <w:spacing w:after="0" w:line="240" w:lineRule="auto"/>
              <w:jc w:val="center"/>
              <w:rPr>
                <w:rFonts w:ascii="Calibri Light" w:hAnsi="Calibri Light"/>
                <w:b/>
              </w:rPr>
            </w:pPr>
            <w:r w:rsidRPr="00501685">
              <w:rPr>
                <w:rFonts w:ascii="Calibri Light" w:hAnsi="Calibri Light"/>
                <w:b/>
              </w:rPr>
              <w:t>Amber</w:t>
            </w:r>
          </w:p>
        </w:tc>
        <w:tc>
          <w:tcPr>
            <w:tcW w:w="8234" w:type="dxa"/>
          </w:tcPr>
          <w:p w:rsidR="00DD75CA" w:rsidRPr="00501685" w:rsidRDefault="00DD75CA" w:rsidP="00DD75CA">
            <w:pPr>
              <w:spacing w:after="0" w:line="240" w:lineRule="auto"/>
              <w:jc w:val="center"/>
            </w:pPr>
            <w:r w:rsidRPr="00501685">
              <w:t>Work is underway however, is not expected to be completed within the agreed timescale. In the judgement of the lead individual/subgroup either</w:t>
            </w:r>
          </w:p>
          <w:p w:rsidR="00DD75CA" w:rsidRPr="00501685" w:rsidRDefault="00DD75CA" w:rsidP="00DD75CA">
            <w:pPr>
              <w:numPr>
                <w:ilvl w:val="0"/>
                <w:numId w:val="2"/>
              </w:numPr>
              <w:spacing w:after="0" w:line="240" w:lineRule="auto"/>
              <w:contextualSpacing/>
              <w:jc w:val="center"/>
            </w:pPr>
            <w:r w:rsidRPr="00501685">
              <w:t>The deadline will be missed by less than three months and / or</w:t>
            </w:r>
          </w:p>
          <w:p w:rsidR="00DD75CA" w:rsidRPr="00501685" w:rsidRDefault="00DD75CA" w:rsidP="00DD75CA">
            <w:pPr>
              <w:numPr>
                <w:ilvl w:val="0"/>
                <w:numId w:val="2"/>
              </w:numPr>
              <w:spacing w:after="0" w:line="240" w:lineRule="auto"/>
              <w:contextualSpacing/>
              <w:jc w:val="center"/>
            </w:pPr>
            <w:r w:rsidRPr="00501685">
              <w:t>The impact of missing this deadline is unlikely to be significant</w:t>
            </w:r>
          </w:p>
        </w:tc>
      </w:tr>
      <w:tr w:rsidR="00DD75CA" w:rsidRPr="00501685">
        <w:trPr>
          <w:jc w:val="center"/>
        </w:trPr>
        <w:tc>
          <w:tcPr>
            <w:tcW w:w="1542" w:type="dxa"/>
            <w:shd w:val="clear" w:color="auto" w:fill="92D050"/>
            <w:vAlign w:val="center"/>
          </w:tcPr>
          <w:p w:rsidR="00DD75CA" w:rsidRPr="00501685" w:rsidRDefault="00DD75CA" w:rsidP="00DD75CA">
            <w:pPr>
              <w:spacing w:after="0" w:line="240" w:lineRule="auto"/>
              <w:jc w:val="center"/>
              <w:rPr>
                <w:rFonts w:ascii="Calibri Light" w:hAnsi="Calibri Light"/>
                <w:b/>
              </w:rPr>
            </w:pPr>
            <w:r w:rsidRPr="00501685">
              <w:rPr>
                <w:rFonts w:ascii="Calibri Light" w:hAnsi="Calibri Light"/>
                <w:b/>
              </w:rPr>
              <w:t>Green</w:t>
            </w:r>
          </w:p>
        </w:tc>
        <w:tc>
          <w:tcPr>
            <w:tcW w:w="8234" w:type="dxa"/>
          </w:tcPr>
          <w:p w:rsidR="00DD75CA" w:rsidRPr="00501685" w:rsidRDefault="00DD75CA" w:rsidP="00DD75CA">
            <w:pPr>
              <w:spacing w:after="0" w:line="240" w:lineRule="auto"/>
              <w:jc w:val="center"/>
            </w:pPr>
            <w:r w:rsidRPr="00501685">
              <w:t>Action completed</w:t>
            </w:r>
          </w:p>
        </w:tc>
      </w:tr>
      <w:tr w:rsidR="00DD75CA" w:rsidRPr="00501685">
        <w:trPr>
          <w:jc w:val="center"/>
        </w:trPr>
        <w:tc>
          <w:tcPr>
            <w:tcW w:w="1542" w:type="dxa"/>
            <w:shd w:val="clear" w:color="auto" w:fill="00B0F0"/>
            <w:vAlign w:val="center"/>
          </w:tcPr>
          <w:p w:rsidR="00DD75CA" w:rsidRPr="00501685" w:rsidRDefault="00DD75CA" w:rsidP="00DD75CA">
            <w:pPr>
              <w:spacing w:after="0" w:line="240" w:lineRule="auto"/>
              <w:jc w:val="center"/>
              <w:rPr>
                <w:rFonts w:ascii="Calibri Light" w:hAnsi="Calibri Light"/>
                <w:b/>
              </w:rPr>
            </w:pPr>
            <w:r w:rsidRPr="00501685">
              <w:rPr>
                <w:rFonts w:ascii="Calibri Light" w:hAnsi="Calibri Light"/>
                <w:b/>
              </w:rPr>
              <w:t>Blue</w:t>
            </w:r>
          </w:p>
        </w:tc>
        <w:tc>
          <w:tcPr>
            <w:tcW w:w="8234" w:type="dxa"/>
          </w:tcPr>
          <w:p w:rsidR="00DD75CA" w:rsidRPr="00501685" w:rsidRDefault="008B2BA6" w:rsidP="00DD75CA">
            <w:pPr>
              <w:spacing w:after="0" w:line="240" w:lineRule="auto"/>
              <w:jc w:val="center"/>
            </w:pPr>
            <w:r>
              <w:t xml:space="preserve">Action not yet commenced. </w:t>
            </w:r>
          </w:p>
        </w:tc>
      </w:tr>
    </w:tbl>
    <w:p w:rsidR="00DD75CA" w:rsidRDefault="00DD75CA" w:rsidP="00DD75CA">
      <w:pPr>
        <w:jc w:val="center"/>
      </w:pPr>
    </w:p>
    <w:p w:rsidR="00DD75CA" w:rsidRDefault="00DD75CA" w:rsidP="00DD75CA">
      <w:pPr>
        <w:jc w:val="center"/>
      </w:pPr>
    </w:p>
    <w:p w:rsidR="00DD75CA" w:rsidRDefault="00DD75CA" w:rsidP="00DD75CA">
      <w:pPr>
        <w:jc w:val="center"/>
      </w:pPr>
    </w:p>
    <w:p w:rsidR="00DD75CA" w:rsidRDefault="00DD75CA" w:rsidP="00DD75CA">
      <w:pPr>
        <w:jc w:val="center"/>
      </w:pPr>
    </w:p>
    <w:p w:rsidR="00DD75CA" w:rsidRDefault="00DD75CA" w:rsidP="00DD75CA">
      <w:pPr>
        <w:rPr>
          <w:b/>
          <w:sz w:val="24"/>
          <w:szCs w:val="24"/>
        </w:rPr>
      </w:pPr>
      <w:r w:rsidRPr="00FE5816">
        <w:rPr>
          <w:b/>
          <w:sz w:val="24"/>
          <w:szCs w:val="24"/>
        </w:rPr>
        <w:t xml:space="preserve">Summary </w:t>
      </w:r>
      <w:r>
        <w:rPr>
          <w:b/>
          <w:sz w:val="24"/>
          <w:szCs w:val="24"/>
        </w:rPr>
        <w:t xml:space="preserve">of Work Achieved </w:t>
      </w:r>
      <w:r w:rsidR="00E86ABF">
        <w:rPr>
          <w:b/>
          <w:sz w:val="24"/>
          <w:szCs w:val="24"/>
        </w:rPr>
        <w:t>in 2017/18 (Strategic Plan year 2</w:t>
      </w:r>
      <w:r>
        <w:rPr>
          <w:b/>
          <w:sz w:val="24"/>
          <w:szCs w:val="24"/>
        </w:rPr>
        <w:t>)</w:t>
      </w:r>
    </w:p>
    <w:p w:rsidR="00DD75CA" w:rsidRPr="00012E38" w:rsidRDefault="00DD75CA" w:rsidP="00DD75CA">
      <w:r w:rsidRPr="00012E38">
        <w:t>Prevention:</w:t>
      </w:r>
    </w:p>
    <w:p w:rsidR="007F5BA4" w:rsidRPr="00012E38" w:rsidRDefault="007F5BA4" w:rsidP="007F5BA4">
      <w:pPr>
        <w:pStyle w:val="ListParagraph"/>
        <w:numPr>
          <w:ilvl w:val="0"/>
          <w:numId w:val="11"/>
        </w:numPr>
        <w:spacing w:after="160" w:line="259" w:lineRule="auto"/>
      </w:pPr>
      <w:r w:rsidRPr="00012E38">
        <w:t>Th</w:t>
      </w:r>
      <w:r w:rsidR="0044434E" w:rsidRPr="00012E38">
        <w:t>e Board has developed ‘Top Tips’</w:t>
      </w:r>
      <w:r w:rsidRPr="00012E38">
        <w:t xml:space="preserve"> for frontline staff working with adults in care homes, and in their own homes receiving home care.</w:t>
      </w:r>
      <w:r>
        <w:t xml:space="preserve">  </w:t>
      </w:r>
      <w:r w:rsidRPr="00012E38">
        <w:t xml:space="preserve">This has been </w:t>
      </w:r>
      <w:r w:rsidR="00012E38" w:rsidRPr="00012E38">
        <w:t>disseminated to board partners and the impact will c</w:t>
      </w:r>
      <w:r w:rsidR="00012E38">
        <w:t>ontinue to be evaluated in 2018/</w:t>
      </w:r>
      <w:r w:rsidR="00012E38" w:rsidRPr="00012E38">
        <w:t>9</w:t>
      </w:r>
    </w:p>
    <w:p w:rsidR="00DD75CA" w:rsidRPr="00012E38" w:rsidRDefault="00E86ABF" w:rsidP="00DD75CA">
      <w:pPr>
        <w:pStyle w:val="ListParagraph"/>
        <w:numPr>
          <w:ilvl w:val="0"/>
          <w:numId w:val="11"/>
        </w:numPr>
        <w:spacing w:after="160" w:line="259" w:lineRule="auto"/>
      </w:pPr>
      <w:r w:rsidRPr="00012E38">
        <w:t>Adult Social Care have piloted ways of working to address social isolation</w:t>
      </w:r>
      <w:r w:rsidR="007F5BA4" w:rsidRPr="00012E38">
        <w:t>, as one of a number of national pilots aimed to reduce the</w:t>
      </w:r>
      <w:r w:rsidR="007F5BA4">
        <w:t xml:space="preserve"> </w:t>
      </w:r>
      <w:r w:rsidR="007F5BA4" w:rsidRPr="00012E38">
        <w:t xml:space="preserve">impact of social isolation and its link to safeguarding. </w:t>
      </w:r>
    </w:p>
    <w:p w:rsidR="00E86ABF" w:rsidRPr="00012E38" w:rsidRDefault="00410154" w:rsidP="00DD75CA">
      <w:pPr>
        <w:pStyle w:val="ListParagraph"/>
        <w:numPr>
          <w:ilvl w:val="0"/>
          <w:numId w:val="11"/>
        </w:numPr>
        <w:spacing w:after="160" w:line="259" w:lineRule="auto"/>
      </w:pPr>
      <w:r w:rsidRPr="00012E38">
        <w:t>The B</w:t>
      </w:r>
      <w:r w:rsidR="00E86ABF" w:rsidRPr="00012E38">
        <w:t xml:space="preserve">oard has produced and distributed posters to raise awareness of safeguarding, </w:t>
      </w:r>
      <w:r w:rsidR="004D7B8C" w:rsidRPr="00012E38">
        <w:t xml:space="preserve">in public settings </w:t>
      </w:r>
      <w:r w:rsidR="00E86ABF" w:rsidRPr="00012E38">
        <w:t xml:space="preserve">and in particular in care homes.  </w:t>
      </w:r>
    </w:p>
    <w:p w:rsidR="00DD75CA" w:rsidRPr="00710581" w:rsidRDefault="00DD75CA" w:rsidP="00DD75CA">
      <w:r w:rsidRPr="00710581">
        <w:t>Assurance</w:t>
      </w:r>
    </w:p>
    <w:p w:rsidR="00DD75CA" w:rsidRPr="0088563B" w:rsidRDefault="00F679E1" w:rsidP="00DD75CA">
      <w:pPr>
        <w:pStyle w:val="ListParagraph"/>
        <w:numPr>
          <w:ilvl w:val="0"/>
          <w:numId w:val="12"/>
        </w:numPr>
        <w:spacing w:after="160" w:line="259" w:lineRule="auto"/>
      </w:pPr>
      <w:r w:rsidRPr="0088563B">
        <w:t>A new framework is in development for partners to self-assess their safeguarding arrangements.  This will continue into 2018/19</w:t>
      </w:r>
      <w:r w:rsidR="00410154" w:rsidRPr="0088563B">
        <w:t>.</w:t>
      </w:r>
    </w:p>
    <w:p w:rsidR="00F679E1" w:rsidRDefault="00F679E1" w:rsidP="00DD75CA">
      <w:pPr>
        <w:pStyle w:val="ListParagraph"/>
        <w:numPr>
          <w:ilvl w:val="0"/>
          <w:numId w:val="12"/>
        </w:numPr>
        <w:spacing w:after="160" w:line="259" w:lineRule="auto"/>
      </w:pPr>
      <w:r>
        <w:t xml:space="preserve">The Independent Chair met with all board partners to review </w:t>
      </w:r>
      <w:r w:rsidR="0044434E">
        <w:t xml:space="preserve">their </w:t>
      </w:r>
      <w:r>
        <w:t>assurance arrangements</w:t>
      </w:r>
      <w:r w:rsidR="0044434E">
        <w:t xml:space="preserve"> and reported findings to the Board.</w:t>
      </w:r>
    </w:p>
    <w:p w:rsidR="00DD75CA" w:rsidRPr="00710581" w:rsidRDefault="00F679E1" w:rsidP="00DD75CA">
      <w:pPr>
        <w:pStyle w:val="ListParagraph"/>
        <w:numPr>
          <w:ilvl w:val="0"/>
          <w:numId w:val="12"/>
        </w:numPr>
        <w:spacing w:after="160" w:line="259" w:lineRule="auto"/>
      </w:pPr>
      <w:r>
        <w:t xml:space="preserve">The review of the SAR processes which commenced </w:t>
      </w:r>
      <w:r w:rsidR="0044434E">
        <w:t xml:space="preserve">in </w:t>
      </w:r>
      <w:r>
        <w:t xml:space="preserve">2017/18 was completed and agreed </w:t>
      </w:r>
      <w:r w:rsidR="0044434E">
        <w:t xml:space="preserve">jointly </w:t>
      </w:r>
      <w:r>
        <w:t>with Nottinghamshire SAB</w:t>
      </w:r>
      <w:r w:rsidR="004D7B8C">
        <w:t>.</w:t>
      </w:r>
    </w:p>
    <w:p w:rsidR="00DD75CA" w:rsidRDefault="00F679E1" w:rsidP="00DD75CA">
      <w:pPr>
        <w:pStyle w:val="ListParagraph"/>
        <w:numPr>
          <w:ilvl w:val="0"/>
          <w:numId w:val="12"/>
        </w:numPr>
        <w:spacing w:after="160" w:line="259" w:lineRule="auto"/>
      </w:pPr>
      <w:r>
        <w:t xml:space="preserve">Action plans from SARs completed in 2017/18 have </w:t>
      </w:r>
      <w:r w:rsidR="004D7B8C">
        <w:t xml:space="preserve">been </w:t>
      </w:r>
      <w:r>
        <w:t>progressed</w:t>
      </w:r>
      <w:r w:rsidR="004D7B8C">
        <w:t xml:space="preserve"> and substantially implemented</w:t>
      </w:r>
      <w:r>
        <w:t>.</w:t>
      </w:r>
    </w:p>
    <w:p w:rsidR="00F679E1" w:rsidRDefault="00F679E1" w:rsidP="00DD75CA">
      <w:pPr>
        <w:pStyle w:val="ListParagraph"/>
        <w:numPr>
          <w:ilvl w:val="0"/>
          <w:numId w:val="12"/>
        </w:numPr>
        <w:spacing w:after="160" w:line="259" w:lineRule="auto"/>
      </w:pPr>
      <w:r>
        <w:t>On-goin</w:t>
      </w:r>
      <w:r w:rsidR="00B06AF4">
        <w:t>g liaison with NCSCB and the CDP</w:t>
      </w:r>
      <w:r>
        <w:t xml:space="preserve"> to share learning across SCRs, SARs and DHRs. </w:t>
      </w:r>
    </w:p>
    <w:p w:rsidR="00F679E1" w:rsidRPr="00012E38" w:rsidRDefault="00F679E1" w:rsidP="00DD75CA">
      <w:pPr>
        <w:pStyle w:val="ListParagraph"/>
        <w:numPr>
          <w:ilvl w:val="0"/>
          <w:numId w:val="12"/>
        </w:numPr>
        <w:spacing w:after="160" w:line="259" w:lineRule="auto"/>
      </w:pPr>
      <w:r w:rsidRPr="00012E38">
        <w:t xml:space="preserve">A Complex Case Review process has been </w:t>
      </w:r>
      <w:r w:rsidR="00B06AF4" w:rsidRPr="00012E38">
        <w:t xml:space="preserve">developed </w:t>
      </w:r>
      <w:r w:rsidRPr="00012E38">
        <w:t xml:space="preserve">to identify multi-agency learning for cases which do not meet the criteria for </w:t>
      </w:r>
      <w:r w:rsidR="004D7B8C" w:rsidRPr="00012E38">
        <w:t xml:space="preserve">a </w:t>
      </w:r>
      <w:r w:rsidRPr="00012E38">
        <w:t xml:space="preserve">SAR.  </w:t>
      </w:r>
      <w:r w:rsidRPr="00A730B7">
        <w:t xml:space="preserve">This </w:t>
      </w:r>
      <w:r w:rsidR="00012E38" w:rsidRPr="00A730B7">
        <w:t>will be piloted in 2018/9</w:t>
      </w:r>
      <w:r w:rsidR="00A730B7" w:rsidRPr="00A730B7">
        <w:t>.</w:t>
      </w:r>
    </w:p>
    <w:p w:rsidR="00F679E1" w:rsidRDefault="00F679E1" w:rsidP="00DD75CA">
      <w:pPr>
        <w:pStyle w:val="ListParagraph"/>
        <w:numPr>
          <w:ilvl w:val="0"/>
          <w:numId w:val="12"/>
        </w:numPr>
        <w:spacing w:after="160" w:line="259" w:lineRule="auto"/>
      </w:pPr>
      <w:r>
        <w:t>The Quality Assurance Framework has been implemented and the Board, through the QA subgroup</w:t>
      </w:r>
      <w:r w:rsidR="00B06AF4">
        <w:t>, has</w:t>
      </w:r>
      <w:r>
        <w:t xml:space="preserve"> received more streamlined safeguarding data and trends. </w:t>
      </w:r>
    </w:p>
    <w:p w:rsidR="00DD75CA" w:rsidRPr="00710581" w:rsidRDefault="00DD75CA" w:rsidP="00DD75CA">
      <w:r w:rsidRPr="00710581">
        <w:t xml:space="preserve">Making Safeguarding Personal </w:t>
      </w:r>
    </w:p>
    <w:p w:rsidR="00DD75CA" w:rsidRPr="00A730B7" w:rsidRDefault="004D7B8C" w:rsidP="00DD75CA">
      <w:pPr>
        <w:pStyle w:val="ListParagraph"/>
        <w:numPr>
          <w:ilvl w:val="0"/>
          <w:numId w:val="13"/>
        </w:numPr>
        <w:spacing w:after="160" w:line="259" w:lineRule="auto"/>
      </w:pPr>
      <w:r w:rsidRPr="00A730B7">
        <w:t>Assurance has been sought fro</w:t>
      </w:r>
      <w:r w:rsidR="00F679E1" w:rsidRPr="00A730B7">
        <w:t xml:space="preserve">m all partners regarding Making Safeguarding Personal, and early intervention in safeguarding.  Partners were asked to ensure citizens are asked before a safeguarding referral is made. The impact of this </w:t>
      </w:r>
      <w:r w:rsidR="00A730B7" w:rsidRPr="00A730B7">
        <w:t>will be reviewed in 2018/9.</w:t>
      </w:r>
    </w:p>
    <w:p w:rsidR="00DD75CA" w:rsidRPr="0088563B" w:rsidRDefault="00A730B7" w:rsidP="00DD75CA">
      <w:pPr>
        <w:pStyle w:val="ListParagraph"/>
        <w:numPr>
          <w:ilvl w:val="0"/>
          <w:numId w:val="13"/>
        </w:numPr>
        <w:spacing w:after="160" w:line="259" w:lineRule="auto"/>
      </w:pPr>
      <w:r>
        <w:t>MSP awareness-</w:t>
      </w:r>
      <w:r w:rsidR="00DD75CA" w:rsidRPr="0088563B">
        <w:t>raising session delivered as part of Every Colleague Matters</w:t>
      </w:r>
      <w:r w:rsidR="00F679E1" w:rsidRPr="0088563B">
        <w:t xml:space="preserve"> for the 2</w:t>
      </w:r>
      <w:r w:rsidR="00F679E1" w:rsidRPr="0088563B">
        <w:rPr>
          <w:vertAlign w:val="superscript"/>
        </w:rPr>
        <w:t>nd</w:t>
      </w:r>
      <w:r w:rsidR="00F679E1" w:rsidRPr="0088563B">
        <w:t xml:space="preserve"> year running.</w:t>
      </w:r>
    </w:p>
    <w:p w:rsidR="00F679E1" w:rsidRPr="0088563B" w:rsidRDefault="00F679E1" w:rsidP="00DD75CA">
      <w:pPr>
        <w:pStyle w:val="ListParagraph"/>
        <w:numPr>
          <w:ilvl w:val="0"/>
          <w:numId w:val="13"/>
        </w:numPr>
        <w:spacing w:after="160" w:line="259" w:lineRule="auto"/>
      </w:pPr>
      <w:r w:rsidRPr="0088563B">
        <w:lastRenderedPageBreak/>
        <w:t>New National guidance around implementing MSP has been reviewed, and partners have been asked how they will implement this in practice in Nottingham.  This will continue in to 2018/19</w:t>
      </w:r>
      <w:r w:rsidR="004D7B8C" w:rsidRPr="0088563B">
        <w:t>.</w:t>
      </w:r>
    </w:p>
    <w:p w:rsidR="00DD75CA" w:rsidRPr="00710581" w:rsidRDefault="00DD75CA" w:rsidP="00DD75CA">
      <w:r w:rsidRPr="00710581">
        <w:t>Safeguarding Performance and Capacity</w:t>
      </w:r>
    </w:p>
    <w:p w:rsidR="00DD75CA" w:rsidRPr="00A730B7" w:rsidRDefault="00DD75CA" w:rsidP="00DD75CA">
      <w:pPr>
        <w:pStyle w:val="ListParagraph"/>
        <w:numPr>
          <w:ilvl w:val="0"/>
          <w:numId w:val="14"/>
        </w:numPr>
        <w:spacing w:after="160" w:line="259" w:lineRule="auto"/>
      </w:pPr>
      <w:r w:rsidRPr="00A730B7">
        <w:t>B</w:t>
      </w:r>
      <w:r w:rsidR="00A730B7" w:rsidRPr="00A730B7">
        <w:t xml:space="preserve">oard </w:t>
      </w:r>
      <w:r w:rsidR="00A730B7">
        <w:t>b</w:t>
      </w:r>
      <w:r w:rsidRPr="00A730B7">
        <w:t>udget agreed for 201</w:t>
      </w:r>
      <w:r w:rsidR="00F679E1" w:rsidRPr="00A730B7">
        <w:t>8/19</w:t>
      </w:r>
    </w:p>
    <w:p w:rsidR="00F679E1" w:rsidRPr="00A730B7" w:rsidRDefault="00F679E1" w:rsidP="00DD75CA">
      <w:pPr>
        <w:pStyle w:val="ListParagraph"/>
        <w:numPr>
          <w:ilvl w:val="0"/>
          <w:numId w:val="14"/>
        </w:numPr>
        <w:spacing w:after="160" w:line="259" w:lineRule="auto"/>
        <w:rPr>
          <w:i/>
        </w:rPr>
      </w:pPr>
      <w:r w:rsidRPr="00A730B7">
        <w:t xml:space="preserve">A new Training, Learning &amp; Improvement subgroup has been established, and has begun to scope resources to act on learning from SARs.  </w:t>
      </w:r>
      <w:r w:rsidR="00410154" w:rsidRPr="00A730B7">
        <w:t>This will continue into 2018/19.</w:t>
      </w:r>
    </w:p>
    <w:p w:rsidR="00102F8E" w:rsidRPr="00102F8E" w:rsidRDefault="00102F8E" w:rsidP="00DD75CA">
      <w:pPr>
        <w:pStyle w:val="ListParagraph"/>
        <w:numPr>
          <w:ilvl w:val="0"/>
          <w:numId w:val="14"/>
        </w:numPr>
        <w:spacing w:after="160" w:line="259" w:lineRule="auto"/>
        <w:rPr>
          <w:i/>
        </w:rPr>
      </w:pPr>
      <w:r w:rsidRPr="00102F8E">
        <w:t xml:space="preserve">Some </w:t>
      </w:r>
      <w:r w:rsidR="00410154">
        <w:t>work has begun to develop the B</w:t>
      </w:r>
      <w:r>
        <w:t>oard’s engagement strategy.  This will continue into 2018/19</w:t>
      </w:r>
      <w:r w:rsidR="00410154">
        <w:t>.</w:t>
      </w:r>
    </w:p>
    <w:p w:rsidR="00102F8E" w:rsidRPr="00102F8E" w:rsidRDefault="00102F8E" w:rsidP="00DD75CA">
      <w:pPr>
        <w:pStyle w:val="ListParagraph"/>
        <w:numPr>
          <w:ilvl w:val="0"/>
          <w:numId w:val="14"/>
        </w:numPr>
        <w:spacing w:after="160" w:line="259" w:lineRule="auto"/>
        <w:rPr>
          <w:i/>
        </w:rPr>
      </w:pPr>
      <w:r>
        <w:t>The NCSAB webpages have been revised and updated.</w:t>
      </w:r>
    </w:p>
    <w:p w:rsidR="00102F8E" w:rsidRPr="00102F8E" w:rsidRDefault="00102F8E" w:rsidP="00DD75CA">
      <w:pPr>
        <w:pStyle w:val="ListParagraph"/>
        <w:numPr>
          <w:ilvl w:val="0"/>
          <w:numId w:val="14"/>
        </w:numPr>
        <w:spacing w:after="160" w:line="259" w:lineRule="auto"/>
        <w:rPr>
          <w:i/>
        </w:rPr>
      </w:pPr>
      <w:r>
        <w:t>The revised Board Constitution was agreed, including a new complaints and escalation policy</w:t>
      </w:r>
      <w:r w:rsidR="00410154">
        <w:t>.</w:t>
      </w:r>
    </w:p>
    <w:p w:rsidR="00102F8E" w:rsidRPr="00102F8E" w:rsidRDefault="00102F8E" w:rsidP="00DD75CA">
      <w:pPr>
        <w:pStyle w:val="ListParagraph"/>
        <w:numPr>
          <w:ilvl w:val="0"/>
          <w:numId w:val="14"/>
        </w:numPr>
        <w:spacing w:after="160" w:line="259" w:lineRule="auto"/>
        <w:rPr>
          <w:i/>
        </w:rPr>
      </w:pPr>
      <w:r>
        <w:t>Reporting arrangements for cross cutting themes have been a</w:t>
      </w:r>
      <w:r w:rsidR="00410154">
        <w:t>greed between the Safeguarding B</w:t>
      </w:r>
      <w:r>
        <w:t>oard a</w:t>
      </w:r>
      <w:r w:rsidR="00410154">
        <w:t>nd other strategic partnerships.</w:t>
      </w:r>
    </w:p>
    <w:p w:rsidR="00D20A90" w:rsidRDefault="00102F8E" w:rsidP="00D20A90">
      <w:pPr>
        <w:pStyle w:val="ListParagraph"/>
        <w:numPr>
          <w:ilvl w:val="0"/>
          <w:numId w:val="14"/>
        </w:numPr>
        <w:spacing w:after="160" w:line="259" w:lineRule="auto"/>
      </w:pPr>
      <w:r>
        <w:t>A six-monthly desktop audit has bee</w:t>
      </w:r>
      <w:r w:rsidR="00410154">
        <w:t>n established to benchmark the B</w:t>
      </w:r>
      <w:r>
        <w:t xml:space="preserve">oard’s performance against the Care &amp; Support Guidance and other national guidance </w:t>
      </w:r>
    </w:p>
    <w:p w:rsidR="00D20A90" w:rsidRDefault="00D20A90" w:rsidP="00D20A90">
      <w:pPr>
        <w:spacing w:after="160" w:line="259" w:lineRule="auto"/>
      </w:pPr>
    </w:p>
    <w:p w:rsidR="00710581" w:rsidRPr="00D20A90" w:rsidRDefault="00D20A90" w:rsidP="00D20A90">
      <w:pPr>
        <w:spacing w:after="160" w:line="259" w:lineRule="auto"/>
        <w:rPr>
          <w:b/>
          <w:i/>
          <w:sz w:val="28"/>
        </w:rPr>
      </w:pPr>
      <w:r w:rsidRPr="00D20A90">
        <w:rPr>
          <w:b/>
          <w:i/>
          <w:sz w:val="28"/>
        </w:rPr>
        <w:t>NB At the time of drafting –</w:t>
      </w:r>
      <w:r w:rsidR="0076071A">
        <w:rPr>
          <w:b/>
          <w:i/>
          <w:sz w:val="28"/>
        </w:rPr>
        <w:t xml:space="preserve">July </w:t>
      </w:r>
      <w:r w:rsidRPr="00D20A90">
        <w:rPr>
          <w:b/>
          <w:i/>
          <w:sz w:val="28"/>
        </w:rPr>
        <w:t xml:space="preserve">2018 – the Board Manager post is </w:t>
      </w:r>
      <w:r w:rsidR="0076071A">
        <w:rPr>
          <w:b/>
          <w:i/>
          <w:sz w:val="28"/>
        </w:rPr>
        <w:t xml:space="preserve">just filled, part time, after several months </w:t>
      </w:r>
      <w:r w:rsidRPr="00D20A90">
        <w:rPr>
          <w:b/>
          <w:i/>
          <w:sz w:val="28"/>
        </w:rPr>
        <w:t xml:space="preserve">vacant. </w:t>
      </w:r>
      <w:r w:rsidR="0076071A">
        <w:rPr>
          <w:b/>
          <w:i/>
          <w:sz w:val="28"/>
        </w:rPr>
        <w:t xml:space="preserve">Consequently, there have been </w:t>
      </w:r>
      <w:r w:rsidRPr="00D20A90">
        <w:rPr>
          <w:b/>
          <w:i/>
          <w:sz w:val="28"/>
        </w:rPr>
        <w:t>significant limitations to the implementation of this plan</w:t>
      </w:r>
      <w:r w:rsidR="00A730B7">
        <w:rPr>
          <w:b/>
          <w:i/>
          <w:sz w:val="28"/>
        </w:rPr>
        <w:t xml:space="preserve"> and </w:t>
      </w:r>
      <w:r w:rsidR="0076071A">
        <w:rPr>
          <w:b/>
          <w:i/>
          <w:sz w:val="28"/>
        </w:rPr>
        <w:t xml:space="preserve">some </w:t>
      </w:r>
      <w:r w:rsidR="00A730B7">
        <w:rPr>
          <w:b/>
          <w:i/>
          <w:sz w:val="28"/>
        </w:rPr>
        <w:t>timescales have not been finalised</w:t>
      </w:r>
    </w:p>
    <w:tbl>
      <w:tblPr>
        <w:tblW w:w="53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2665"/>
        <w:gridCol w:w="4283"/>
        <w:gridCol w:w="2212"/>
        <w:gridCol w:w="1449"/>
        <w:gridCol w:w="17"/>
        <w:gridCol w:w="481"/>
        <w:gridCol w:w="480"/>
        <w:gridCol w:w="2736"/>
      </w:tblGrid>
      <w:tr w:rsidR="002E78D7" w:rsidRPr="00501685" w:rsidTr="00BE6646">
        <w:trPr>
          <w:tblHeader/>
          <w:jc w:val="center"/>
        </w:trPr>
        <w:tc>
          <w:tcPr>
            <w:tcW w:w="1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6D1" w:rsidRPr="00501685" w:rsidRDefault="003646D1" w:rsidP="003646D1">
            <w:pPr>
              <w:pStyle w:val="Heading1"/>
              <w:ind w:left="-328"/>
            </w:pPr>
          </w:p>
        </w:tc>
        <w:tc>
          <w:tcPr>
            <w:tcW w:w="9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6D1" w:rsidRPr="00501685" w:rsidRDefault="003646D1" w:rsidP="00DD75CA">
            <w:pPr>
              <w:keepNext/>
              <w:keepLines/>
              <w:spacing w:before="40" w:after="0" w:line="240" w:lineRule="auto"/>
              <w:jc w:val="center"/>
              <w:outlineLvl w:val="1"/>
              <w:rPr>
                <w:rFonts w:ascii="Calibri Light" w:hAnsi="Calibri Light"/>
                <w:b/>
              </w:rPr>
            </w:pPr>
            <w:r w:rsidRPr="00501685">
              <w:rPr>
                <w:rFonts w:ascii="Calibri Light" w:hAnsi="Calibri Light"/>
                <w:b/>
              </w:rPr>
              <w:t>What do we want to achieve</w:t>
            </w:r>
          </w:p>
        </w:tc>
        <w:tc>
          <w:tcPr>
            <w:tcW w:w="1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6D1" w:rsidRPr="00501685" w:rsidRDefault="003646D1" w:rsidP="00DD75CA">
            <w:pPr>
              <w:keepNext/>
              <w:keepLines/>
              <w:spacing w:before="40" w:after="0" w:line="240" w:lineRule="auto"/>
              <w:jc w:val="center"/>
              <w:outlineLvl w:val="1"/>
              <w:rPr>
                <w:rFonts w:ascii="Calibri Light" w:hAnsi="Calibri Light"/>
                <w:b/>
              </w:rPr>
            </w:pPr>
            <w:r w:rsidRPr="00501685">
              <w:rPr>
                <w:rFonts w:ascii="Calibri Light" w:hAnsi="Calibri Light"/>
                <w:b/>
              </w:rPr>
              <w:t xml:space="preserve">What we </w:t>
            </w:r>
            <w:r>
              <w:rPr>
                <w:rFonts w:ascii="Calibri Light" w:hAnsi="Calibri Light"/>
                <w:b/>
              </w:rPr>
              <w:t xml:space="preserve">are </w:t>
            </w:r>
            <w:r w:rsidRPr="00501685">
              <w:rPr>
                <w:rFonts w:ascii="Calibri Light" w:hAnsi="Calibri Light"/>
                <w:b/>
              </w:rPr>
              <w:t>going to do</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6D1" w:rsidRPr="00501685" w:rsidRDefault="003646D1" w:rsidP="00DD75CA">
            <w:pPr>
              <w:keepNext/>
              <w:keepLines/>
              <w:spacing w:before="40" w:after="0" w:line="240" w:lineRule="auto"/>
              <w:jc w:val="center"/>
              <w:outlineLvl w:val="1"/>
              <w:rPr>
                <w:rFonts w:ascii="Calibri Light" w:hAnsi="Calibri Light"/>
                <w:b/>
              </w:rPr>
            </w:pPr>
            <w:r w:rsidRPr="00501685">
              <w:rPr>
                <w:rFonts w:ascii="Calibri Light" w:hAnsi="Calibri Light"/>
                <w:b/>
              </w:rPr>
              <w:t>Who will lead</w:t>
            </w: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6D1" w:rsidRPr="00501685" w:rsidRDefault="003646D1" w:rsidP="00DD75CA">
            <w:pPr>
              <w:keepNext/>
              <w:keepLines/>
              <w:spacing w:before="40" w:after="0" w:line="240" w:lineRule="auto"/>
              <w:jc w:val="center"/>
              <w:outlineLvl w:val="1"/>
              <w:rPr>
                <w:rFonts w:ascii="Calibri Light" w:hAnsi="Calibri Light"/>
                <w:b/>
              </w:rPr>
            </w:pPr>
            <w:r w:rsidRPr="00501685">
              <w:rPr>
                <w:rFonts w:ascii="Calibri Light" w:hAnsi="Calibri Light"/>
                <w:b/>
              </w:rPr>
              <w:t>Timescale</w:t>
            </w:r>
          </w:p>
        </w:tc>
        <w:tc>
          <w:tcPr>
            <w:tcW w:w="33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6D1" w:rsidRDefault="003646D1" w:rsidP="00DD75CA">
            <w:pPr>
              <w:keepNext/>
              <w:keepLines/>
              <w:spacing w:before="40" w:after="0" w:line="240" w:lineRule="auto"/>
              <w:jc w:val="center"/>
              <w:outlineLvl w:val="1"/>
              <w:rPr>
                <w:rFonts w:ascii="Calibri Light" w:hAnsi="Calibri Light"/>
                <w:b/>
              </w:rPr>
            </w:pPr>
            <w:r w:rsidRPr="00501685">
              <w:rPr>
                <w:rFonts w:ascii="Calibri Light" w:hAnsi="Calibri Light"/>
                <w:b/>
              </w:rPr>
              <w:t>RAG rating</w:t>
            </w:r>
          </w:p>
          <w:p w:rsidR="00FE4592" w:rsidRPr="00FE4592" w:rsidRDefault="00FE4592" w:rsidP="00DD75CA">
            <w:pPr>
              <w:keepNext/>
              <w:keepLines/>
              <w:spacing w:before="40" w:after="0" w:line="240" w:lineRule="auto"/>
              <w:jc w:val="center"/>
              <w:outlineLvl w:val="1"/>
              <w:rPr>
                <w:rFonts w:ascii="Calibri Light" w:hAnsi="Calibri Light"/>
                <w:b/>
                <w:sz w:val="20"/>
                <w:szCs w:val="20"/>
              </w:rPr>
            </w:pPr>
            <w:r w:rsidRPr="00FE4592">
              <w:rPr>
                <w:rFonts w:ascii="Calibri" w:hAnsi="Calibri"/>
                <w:b/>
                <w:sz w:val="20"/>
                <w:szCs w:val="20"/>
              </w:rPr>
              <w:t>(</w:t>
            </w:r>
            <w:r w:rsidRPr="00FE4592">
              <w:rPr>
                <w:rFonts w:ascii="Calibri" w:hAnsi="Calibri"/>
                <w:color w:val="00B050"/>
                <w:sz w:val="20"/>
                <w:szCs w:val="20"/>
              </w:rPr>
              <w:sym w:font="Wingdings" w:char="F0EA"/>
            </w:r>
            <w:r w:rsidRPr="00FE4592">
              <w:rPr>
                <w:rFonts w:ascii="Calibri" w:hAnsi="Calibri"/>
                <w:color w:val="FF0000"/>
                <w:sz w:val="20"/>
                <w:szCs w:val="20"/>
              </w:rPr>
              <w:sym w:font="Wingdings" w:char="F0E9"/>
            </w:r>
            <w:r w:rsidRPr="00FE4592">
              <w:rPr>
                <w:rFonts w:ascii="Calibri" w:hAnsi="Calibri"/>
                <w:sz w:val="20"/>
                <w:szCs w:val="20"/>
              </w:rPr>
              <w:sym w:font="Wingdings" w:char="F0E8"/>
            </w:r>
            <w:r w:rsidRPr="00FE4592">
              <w:rPr>
                <w:rFonts w:ascii="Calibri" w:hAnsi="Calibri"/>
                <w:sz w:val="20"/>
                <w:szCs w:val="20"/>
              </w:rPr>
              <w:t>)</w:t>
            </w:r>
          </w:p>
        </w:tc>
        <w:tc>
          <w:tcPr>
            <w:tcW w:w="9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46D1" w:rsidRPr="00501685" w:rsidRDefault="00221EFA" w:rsidP="006B2791">
            <w:pPr>
              <w:keepNext/>
              <w:keepLines/>
              <w:tabs>
                <w:tab w:val="left" w:pos="314"/>
                <w:tab w:val="center" w:pos="1333"/>
              </w:tabs>
              <w:spacing w:before="40" w:after="0" w:line="240" w:lineRule="auto"/>
              <w:outlineLvl w:val="1"/>
              <w:rPr>
                <w:rFonts w:ascii="Calibri Light" w:hAnsi="Calibri Light"/>
                <w:b/>
              </w:rPr>
            </w:pPr>
            <w:r>
              <w:rPr>
                <w:rFonts w:ascii="Calibri Light" w:hAnsi="Calibri Light"/>
                <w:b/>
              </w:rPr>
              <w:tab/>
            </w:r>
            <w:r w:rsidR="006B2791">
              <w:rPr>
                <w:rFonts w:ascii="Calibri Light" w:hAnsi="Calibri Light"/>
                <w:b/>
              </w:rPr>
              <w:t xml:space="preserve">Updates </w:t>
            </w:r>
            <w:r w:rsidR="003646D1">
              <w:rPr>
                <w:rFonts w:ascii="Calibri Light" w:hAnsi="Calibri Light"/>
                <w:b/>
              </w:rPr>
              <w:t xml:space="preserve">  </w:t>
            </w:r>
          </w:p>
        </w:tc>
      </w:tr>
      <w:tr w:rsidR="00FE4592" w:rsidRPr="00C6187C">
        <w:trPr>
          <w:jc w:val="center"/>
        </w:trPr>
        <w:tc>
          <w:tcPr>
            <w:tcW w:w="5000" w:type="pct"/>
            <w:gridSpan w:val="9"/>
            <w:tcBorders>
              <w:top w:val="single" w:sz="4" w:space="0" w:color="auto"/>
              <w:bottom w:val="single" w:sz="4" w:space="0" w:color="auto"/>
            </w:tcBorders>
            <w:shd w:val="clear" w:color="auto" w:fill="BFBFBF" w:themeFill="background1" w:themeFillShade="BF"/>
          </w:tcPr>
          <w:p w:rsidR="00FE4592" w:rsidRPr="00C6187C" w:rsidRDefault="00FE4592" w:rsidP="003646D1">
            <w:pPr>
              <w:keepNext/>
              <w:keepLines/>
              <w:spacing w:before="40" w:after="0" w:line="240" w:lineRule="auto"/>
              <w:jc w:val="center"/>
              <w:outlineLvl w:val="1"/>
              <w:rPr>
                <w:rFonts w:ascii="Calibri Light" w:hAnsi="Calibri Light"/>
                <w:b/>
                <w:sz w:val="28"/>
                <w:szCs w:val="28"/>
              </w:rPr>
            </w:pPr>
            <w:r w:rsidRPr="00C6187C">
              <w:rPr>
                <w:rFonts w:ascii="Calibri Light" w:hAnsi="Calibri Light"/>
                <w:b/>
                <w:sz w:val="28"/>
                <w:szCs w:val="28"/>
              </w:rPr>
              <w:t>Strategic Priority 1) Prevention</w:t>
            </w:r>
          </w:p>
        </w:tc>
      </w:tr>
      <w:tr w:rsidR="002E78D7" w:rsidRPr="00501685" w:rsidTr="00BE6646">
        <w:trPr>
          <w:trHeight w:val="1266"/>
          <w:jc w:val="center"/>
        </w:trPr>
        <w:tc>
          <w:tcPr>
            <w:tcW w:w="166" w:type="pct"/>
            <w:vMerge w:val="restart"/>
          </w:tcPr>
          <w:p w:rsidR="003646D1" w:rsidRDefault="003646D1" w:rsidP="00D73C10">
            <w:pPr>
              <w:spacing w:after="0" w:line="240" w:lineRule="auto"/>
              <w:rPr>
                <w:b/>
              </w:rPr>
            </w:pPr>
            <w:r>
              <w:rPr>
                <w:b/>
              </w:rPr>
              <w:t>1.</w:t>
            </w:r>
            <w:r w:rsidR="00D75597">
              <w:rPr>
                <w:b/>
              </w:rPr>
              <w:t>1</w:t>
            </w:r>
            <w:r>
              <w:rPr>
                <w:b/>
              </w:rPr>
              <w:t xml:space="preserve"> </w:t>
            </w:r>
          </w:p>
          <w:p w:rsidR="003646D1" w:rsidRDefault="003646D1" w:rsidP="00DD75CA">
            <w:pPr>
              <w:spacing w:after="0" w:line="240" w:lineRule="auto"/>
              <w:jc w:val="center"/>
              <w:rPr>
                <w:b/>
              </w:rPr>
            </w:pPr>
          </w:p>
        </w:tc>
        <w:tc>
          <w:tcPr>
            <w:tcW w:w="901" w:type="pct"/>
            <w:vMerge w:val="restart"/>
          </w:tcPr>
          <w:p w:rsidR="003646D1" w:rsidRDefault="003646D1" w:rsidP="00D73C10">
            <w:pPr>
              <w:rPr>
                <w:rStyle w:val="s4"/>
              </w:rPr>
            </w:pPr>
            <w:r>
              <w:rPr>
                <w:rStyle w:val="s4"/>
              </w:rPr>
              <w:t xml:space="preserve">The Board develops a better understanding of the impact of social isolation on people in </w:t>
            </w:r>
            <w:r>
              <w:rPr>
                <w:rStyle w:val="s4"/>
              </w:rPr>
              <w:lastRenderedPageBreak/>
              <w:t xml:space="preserve">Nottingham and implications for prevention work in adult safeguarding </w:t>
            </w:r>
          </w:p>
          <w:p w:rsidR="003646D1" w:rsidRPr="00485522" w:rsidRDefault="003646D1" w:rsidP="00DD75CA">
            <w:pPr>
              <w:rPr>
                <w:rStyle w:val="s4"/>
              </w:rPr>
            </w:pPr>
          </w:p>
        </w:tc>
        <w:tc>
          <w:tcPr>
            <w:tcW w:w="1447" w:type="pct"/>
          </w:tcPr>
          <w:p w:rsidR="003646D1" w:rsidRPr="00102F8E" w:rsidRDefault="00102F8E" w:rsidP="002C4EB4">
            <w:pPr>
              <w:pStyle w:val="ListParagraph"/>
              <w:numPr>
                <w:ilvl w:val="0"/>
                <w:numId w:val="21"/>
              </w:numPr>
              <w:spacing w:before="240" w:after="0" w:line="240" w:lineRule="auto"/>
              <w:ind w:left="270" w:hanging="270"/>
            </w:pPr>
            <w:r w:rsidRPr="00102F8E">
              <w:lastRenderedPageBreak/>
              <w:t>Review outcomes from national pilot sites &amp; identify how</w:t>
            </w:r>
            <w:r>
              <w:t xml:space="preserve"> learning can be implemented in Nottingham. </w:t>
            </w:r>
          </w:p>
        </w:tc>
        <w:tc>
          <w:tcPr>
            <w:tcW w:w="734" w:type="pct"/>
          </w:tcPr>
          <w:p w:rsidR="006B75F2" w:rsidRDefault="006B75F2" w:rsidP="00524508">
            <w:pPr>
              <w:spacing w:after="0" w:line="240" w:lineRule="auto"/>
              <w:jc w:val="center"/>
            </w:pPr>
          </w:p>
          <w:p w:rsidR="003646D1" w:rsidRPr="007C4706" w:rsidRDefault="00524508" w:rsidP="00524508">
            <w:pPr>
              <w:spacing w:after="0" w:line="240" w:lineRule="auto"/>
              <w:jc w:val="center"/>
            </w:pPr>
            <w:r>
              <w:t>Board Manager/Board</w:t>
            </w:r>
          </w:p>
        </w:tc>
        <w:tc>
          <w:tcPr>
            <w:tcW w:w="491" w:type="pct"/>
            <w:tcBorders>
              <w:right w:val="single" w:sz="4" w:space="0" w:color="auto"/>
            </w:tcBorders>
          </w:tcPr>
          <w:p w:rsidR="003646D1" w:rsidRDefault="007C4706" w:rsidP="00DD75CA">
            <w:pPr>
              <w:spacing w:after="0" w:line="240" w:lineRule="auto"/>
            </w:pPr>
            <w:r>
              <w:t>National evaluation due April 2018– to follow this</w:t>
            </w:r>
          </w:p>
        </w:tc>
        <w:tc>
          <w:tcPr>
            <w:tcW w:w="171" w:type="pct"/>
            <w:gridSpan w:val="2"/>
            <w:tcBorders>
              <w:left w:val="single" w:sz="4" w:space="0" w:color="auto"/>
              <w:right w:val="single" w:sz="4" w:space="0" w:color="auto"/>
            </w:tcBorders>
            <w:shd w:val="clear" w:color="auto" w:fill="95B3D7" w:themeFill="accent1" w:themeFillTint="99"/>
            <w:vAlign w:val="center"/>
          </w:tcPr>
          <w:p w:rsidR="003646D1" w:rsidRPr="00856331" w:rsidRDefault="00E46447" w:rsidP="00856331">
            <w:pPr>
              <w:spacing w:after="0" w:line="240" w:lineRule="auto"/>
              <w:jc w:val="center"/>
              <w:rPr>
                <w:rFonts w:ascii="Arial" w:hAnsi="Arial" w:cs="Arial"/>
                <w:b/>
                <w:lang w:eastAsia="en-GB"/>
              </w:rPr>
            </w:pPr>
            <w:r w:rsidRPr="00BE6646">
              <w:rPr>
                <w:rFonts w:ascii="Arial" w:hAnsi="Arial" w:cs="Arial"/>
                <w:b/>
                <w:lang w:eastAsia="en-GB"/>
              </w:rPr>
              <w:t>B</w:t>
            </w:r>
          </w:p>
        </w:tc>
        <w:tc>
          <w:tcPr>
            <w:tcW w:w="164" w:type="pct"/>
            <w:tcBorders>
              <w:left w:val="single" w:sz="4" w:space="0" w:color="auto"/>
              <w:right w:val="single" w:sz="4" w:space="0" w:color="auto"/>
            </w:tcBorders>
            <w:vAlign w:val="center"/>
          </w:tcPr>
          <w:p w:rsidR="003646D1" w:rsidRDefault="003646D1" w:rsidP="002C66D3">
            <w:pPr>
              <w:spacing w:after="0" w:line="240" w:lineRule="auto"/>
              <w:jc w:val="center"/>
              <w:rPr>
                <w:i/>
              </w:rPr>
            </w:pPr>
          </w:p>
        </w:tc>
        <w:tc>
          <w:tcPr>
            <w:tcW w:w="925" w:type="pct"/>
            <w:vMerge w:val="restart"/>
            <w:tcBorders>
              <w:left w:val="single" w:sz="4" w:space="0" w:color="auto"/>
            </w:tcBorders>
          </w:tcPr>
          <w:p w:rsidR="003646D1" w:rsidRPr="00214528" w:rsidRDefault="0076071A" w:rsidP="00DD75CA">
            <w:pPr>
              <w:spacing w:after="0" w:line="240" w:lineRule="auto"/>
              <w:rPr>
                <w:i/>
              </w:rPr>
            </w:pPr>
            <w:r w:rsidRPr="00214528">
              <w:rPr>
                <w:i/>
              </w:rPr>
              <w:t xml:space="preserve">The national evaluation has been completed in July and has not yet been reviewed by BMG or the Board </w:t>
            </w:r>
            <w:r w:rsidRPr="00214528">
              <w:rPr>
                <w:i/>
              </w:rPr>
              <w:lastRenderedPageBreak/>
              <w:t>manager, but a report will be brought to Board asap.</w:t>
            </w:r>
          </w:p>
        </w:tc>
      </w:tr>
      <w:tr w:rsidR="002E78D7" w:rsidRPr="00501685" w:rsidTr="00BE6646">
        <w:trPr>
          <w:trHeight w:val="1081"/>
          <w:jc w:val="center"/>
        </w:trPr>
        <w:tc>
          <w:tcPr>
            <w:tcW w:w="166" w:type="pct"/>
            <w:vMerge/>
          </w:tcPr>
          <w:p w:rsidR="003646D1" w:rsidRDefault="003646D1" w:rsidP="00D73C10">
            <w:pPr>
              <w:spacing w:after="0" w:line="240" w:lineRule="auto"/>
              <w:rPr>
                <w:b/>
              </w:rPr>
            </w:pPr>
          </w:p>
        </w:tc>
        <w:tc>
          <w:tcPr>
            <w:tcW w:w="901" w:type="pct"/>
            <w:vMerge/>
            <w:tcBorders>
              <w:bottom w:val="single" w:sz="4" w:space="0" w:color="auto"/>
            </w:tcBorders>
          </w:tcPr>
          <w:p w:rsidR="003646D1" w:rsidRDefault="003646D1" w:rsidP="00D73C10">
            <w:pPr>
              <w:rPr>
                <w:rStyle w:val="s4"/>
              </w:rPr>
            </w:pPr>
          </w:p>
        </w:tc>
        <w:tc>
          <w:tcPr>
            <w:tcW w:w="1447" w:type="pct"/>
            <w:tcBorders>
              <w:bottom w:val="single" w:sz="4" w:space="0" w:color="auto"/>
            </w:tcBorders>
          </w:tcPr>
          <w:p w:rsidR="003646D1" w:rsidRDefault="007C4706" w:rsidP="002C4EB4">
            <w:pPr>
              <w:pStyle w:val="ListParagraph"/>
              <w:numPr>
                <w:ilvl w:val="0"/>
                <w:numId w:val="21"/>
              </w:numPr>
              <w:spacing w:after="0" w:line="240" w:lineRule="auto"/>
              <w:ind w:left="270" w:hanging="283"/>
            </w:pPr>
            <w:r>
              <w:t>In the light of 1.1a) s</w:t>
            </w:r>
            <w:r w:rsidR="003646D1">
              <w:t xml:space="preserve">cope (who, what, where, when) areas and possible actions where partners might co-operate to reduce social isolation where this will reduce safeguarding risks.  Scoping to include different approaches to safeguarding adults which address social isolation outcomes, which if feasible could be piloted by partner agencies.  </w:t>
            </w:r>
          </w:p>
          <w:p w:rsidR="00D75597" w:rsidRPr="00D75597" w:rsidRDefault="00D75597" w:rsidP="00D75597">
            <w:pPr>
              <w:spacing w:after="0" w:line="240" w:lineRule="auto"/>
              <w:rPr>
                <w:b/>
                <w:i/>
                <w:color w:val="FF0000"/>
              </w:rPr>
            </w:pPr>
          </w:p>
          <w:p w:rsidR="00D75597" w:rsidRPr="00E6283F" w:rsidRDefault="00D75597" w:rsidP="00D75597">
            <w:pPr>
              <w:pStyle w:val="ListParagraph"/>
              <w:numPr>
                <w:ilvl w:val="0"/>
                <w:numId w:val="21"/>
              </w:numPr>
              <w:spacing w:after="0" w:line="240" w:lineRule="auto"/>
              <w:ind w:left="264" w:hanging="264"/>
            </w:pPr>
            <w:r w:rsidRPr="00E6283F">
              <w:t>Pending the effectiveness of</w:t>
            </w:r>
            <w:r w:rsidR="007C4706">
              <w:t xml:space="preserve"> 1.2a) below</w:t>
            </w:r>
            <w:r w:rsidRPr="00E6283F">
              <w:t xml:space="preserve">, consider developing a ‘Top Tips’ to reduce social isolation. </w:t>
            </w:r>
          </w:p>
          <w:p w:rsidR="00D75597" w:rsidRDefault="00D75597" w:rsidP="00D75597">
            <w:pPr>
              <w:spacing w:after="0" w:line="240" w:lineRule="auto"/>
            </w:pPr>
          </w:p>
        </w:tc>
        <w:tc>
          <w:tcPr>
            <w:tcW w:w="734" w:type="pct"/>
            <w:tcBorders>
              <w:bottom w:val="single" w:sz="4" w:space="0" w:color="auto"/>
            </w:tcBorders>
          </w:tcPr>
          <w:p w:rsidR="00E6283F" w:rsidRPr="007C4706" w:rsidRDefault="007C4706" w:rsidP="00524508">
            <w:pPr>
              <w:spacing w:after="0" w:line="240" w:lineRule="auto"/>
              <w:jc w:val="center"/>
            </w:pPr>
            <w:r w:rsidRPr="007C4706">
              <w:t>BMG/Board</w:t>
            </w:r>
          </w:p>
          <w:p w:rsidR="00E6283F" w:rsidRPr="007C4706" w:rsidRDefault="00E6283F" w:rsidP="00524508">
            <w:pPr>
              <w:spacing w:after="0" w:line="240" w:lineRule="auto"/>
              <w:jc w:val="center"/>
            </w:pPr>
          </w:p>
          <w:p w:rsidR="00E6283F" w:rsidRPr="007C4706" w:rsidRDefault="00E6283F" w:rsidP="00524508">
            <w:pPr>
              <w:spacing w:after="0" w:line="240" w:lineRule="auto"/>
              <w:jc w:val="center"/>
            </w:pPr>
          </w:p>
          <w:p w:rsidR="00E6283F" w:rsidRPr="007C4706" w:rsidRDefault="00E6283F" w:rsidP="00524508">
            <w:pPr>
              <w:spacing w:after="0" w:line="240" w:lineRule="auto"/>
              <w:jc w:val="center"/>
            </w:pPr>
          </w:p>
          <w:p w:rsidR="00E6283F" w:rsidRPr="007C4706" w:rsidRDefault="00E6283F" w:rsidP="00524508">
            <w:pPr>
              <w:spacing w:after="0" w:line="240" w:lineRule="auto"/>
              <w:jc w:val="center"/>
            </w:pPr>
          </w:p>
          <w:p w:rsidR="00E6283F" w:rsidRPr="007C4706" w:rsidRDefault="00E6283F" w:rsidP="00524508">
            <w:pPr>
              <w:spacing w:after="0" w:line="240" w:lineRule="auto"/>
              <w:jc w:val="center"/>
            </w:pPr>
          </w:p>
          <w:p w:rsidR="00E6283F" w:rsidRPr="007C4706" w:rsidRDefault="00E6283F" w:rsidP="00524508">
            <w:pPr>
              <w:spacing w:after="0" w:line="240" w:lineRule="auto"/>
              <w:jc w:val="center"/>
            </w:pPr>
          </w:p>
          <w:p w:rsidR="00E6283F" w:rsidRPr="007C4706" w:rsidRDefault="00E6283F" w:rsidP="00524508">
            <w:pPr>
              <w:spacing w:after="0" w:line="240" w:lineRule="auto"/>
              <w:jc w:val="center"/>
            </w:pPr>
          </w:p>
          <w:p w:rsidR="00E6283F" w:rsidRPr="007C4706" w:rsidRDefault="00E6283F" w:rsidP="00524508">
            <w:pPr>
              <w:spacing w:after="0" w:line="240" w:lineRule="auto"/>
              <w:jc w:val="center"/>
            </w:pPr>
          </w:p>
          <w:p w:rsidR="00E6283F" w:rsidRPr="007C4706" w:rsidRDefault="00E6283F" w:rsidP="00524508">
            <w:pPr>
              <w:spacing w:after="0" w:line="240" w:lineRule="auto"/>
              <w:jc w:val="center"/>
            </w:pPr>
          </w:p>
          <w:p w:rsidR="007C4706" w:rsidRPr="007C4706" w:rsidRDefault="007C4706" w:rsidP="00524508">
            <w:pPr>
              <w:spacing w:after="0" w:line="240" w:lineRule="auto"/>
              <w:jc w:val="center"/>
            </w:pPr>
          </w:p>
          <w:p w:rsidR="003646D1" w:rsidRPr="007C4706" w:rsidRDefault="007C4706" w:rsidP="00524508">
            <w:pPr>
              <w:spacing w:after="0" w:line="240" w:lineRule="auto"/>
              <w:jc w:val="center"/>
            </w:pPr>
            <w:r w:rsidRPr="007C4706">
              <w:t>TLI</w:t>
            </w:r>
          </w:p>
        </w:tc>
        <w:tc>
          <w:tcPr>
            <w:tcW w:w="491" w:type="pct"/>
            <w:tcBorders>
              <w:bottom w:val="single" w:sz="4" w:space="0" w:color="auto"/>
              <w:right w:val="single" w:sz="4" w:space="0" w:color="auto"/>
            </w:tcBorders>
          </w:tcPr>
          <w:p w:rsidR="003646D1" w:rsidRDefault="003646D1" w:rsidP="002C4EB4">
            <w:pPr>
              <w:spacing w:after="0" w:line="240" w:lineRule="auto"/>
            </w:pPr>
          </w:p>
        </w:tc>
        <w:tc>
          <w:tcPr>
            <w:tcW w:w="171" w:type="pct"/>
            <w:gridSpan w:val="2"/>
            <w:tcBorders>
              <w:left w:val="single" w:sz="4" w:space="0" w:color="auto"/>
              <w:bottom w:val="single" w:sz="4" w:space="0" w:color="auto"/>
              <w:right w:val="single" w:sz="4" w:space="0" w:color="auto"/>
            </w:tcBorders>
            <w:shd w:val="clear" w:color="auto" w:fill="95B3D7" w:themeFill="accent1" w:themeFillTint="99"/>
            <w:vAlign w:val="center"/>
          </w:tcPr>
          <w:p w:rsidR="003646D1" w:rsidRPr="00856331" w:rsidRDefault="009E4AF9" w:rsidP="00856331">
            <w:pPr>
              <w:spacing w:after="0" w:line="240" w:lineRule="auto"/>
              <w:jc w:val="center"/>
              <w:rPr>
                <w:rFonts w:ascii="Arial" w:hAnsi="Arial" w:cs="Arial"/>
                <w:b/>
                <w:lang w:eastAsia="en-GB"/>
              </w:rPr>
            </w:pPr>
            <w:r>
              <w:rPr>
                <w:rFonts w:ascii="Arial" w:hAnsi="Arial" w:cs="Arial"/>
                <w:b/>
                <w:lang w:eastAsia="en-GB"/>
              </w:rPr>
              <w:t>B</w:t>
            </w:r>
          </w:p>
        </w:tc>
        <w:tc>
          <w:tcPr>
            <w:tcW w:w="164" w:type="pct"/>
            <w:tcBorders>
              <w:left w:val="single" w:sz="4" w:space="0" w:color="auto"/>
              <w:bottom w:val="single" w:sz="4" w:space="0" w:color="auto"/>
              <w:right w:val="single" w:sz="4" w:space="0" w:color="auto"/>
            </w:tcBorders>
            <w:vAlign w:val="center"/>
          </w:tcPr>
          <w:p w:rsidR="003646D1" w:rsidRDefault="003646D1" w:rsidP="002C66D3">
            <w:pPr>
              <w:spacing w:after="0" w:line="240" w:lineRule="auto"/>
              <w:jc w:val="center"/>
              <w:rPr>
                <w:i/>
              </w:rPr>
            </w:pPr>
          </w:p>
        </w:tc>
        <w:tc>
          <w:tcPr>
            <w:tcW w:w="925" w:type="pct"/>
            <w:vMerge/>
            <w:tcBorders>
              <w:left w:val="single" w:sz="4" w:space="0" w:color="auto"/>
              <w:bottom w:val="single" w:sz="4" w:space="0" w:color="auto"/>
            </w:tcBorders>
          </w:tcPr>
          <w:p w:rsidR="003646D1" w:rsidRDefault="003646D1" w:rsidP="00DD75CA">
            <w:pPr>
              <w:spacing w:after="0" w:line="240" w:lineRule="auto"/>
              <w:rPr>
                <w:i/>
              </w:rPr>
            </w:pPr>
          </w:p>
        </w:tc>
      </w:tr>
      <w:tr w:rsidR="002E78D7" w:rsidRPr="00501685" w:rsidTr="00BE6646">
        <w:trPr>
          <w:trHeight w:val="2267"/>
          <w:jc w:val="center"/>
        </w:trPr>
        <w:tc>
          <w:tcPr>
            <w:tcW w:w="166" w:type="pct"/>
          </w:tcPr>
          <w:p w:rsidR="00D75597" w:rsidRDefault="00D75597" w:rsidP="00D73C10">
            <w:pPr>
              <w:spacing w:after="0" w:line="240" w:lineRule="auto"/>
              <w:rPr>
                <w:b/>
              </w:rPr>
            </w:pPr>
            <w:r>
              <w:rPr>
                <w:b/>
              </w:rPr>
              <w:t>1.2</w:t>
            </w:r>
          </w:p>
        </w:tc>
        <w:tc>
          <w:tcPr>
            <w:tcW w:w="901" w:type="pct"/>
            <w:tcBorders>
              <w:bottom w:val="single" w:sz="4" w:space="0" w:color="auto"/>
            </w:tcBorders>
          </w:tcPr>
          <w:p w:rsidR="00D75597" w:rsidRPr="00D75597" w:rsidRDefault="00D75597" w:rsidP="00D75597">
            <w:pPr>
              <w:rPr>
                <w:rStyle w:val="s4"/>
              </w:rPr>
            </w:pPr>
            <w:r>
              <w:rPr>
                <w:rStyle w:val="s4"/>
              </w:rPr>
              <w:t>Safeguarding incidents in regulated providers are reduced as frontline practitioners know what to look out for</w:t>
            </w:r>
            <w:r w:rsidR="00B06AF4">
              <w:rPr>
                <w:rStyle w:val="s4"/>
              </w:rPr>
              <w:t xml:space="preserve"> as early warnings</w:t>
            </w:r>
            <w:r>
              <w:rPr>
                <w:rStyle w:val="s4"/>
              </w:rPr>
              <w:t>, and how to respond.</w:t>
            </w:r>
          </w:p>
        </w:tc>
        <w:tc>
          <w:tcPr>
            <w:tcW w:w="1447" w:type="pct"/>
            <w:tcBorders>
              <w:bottom w:val="single" w:sz="4" w:space="0" w:color="auto"/>
            </w:tcBorders>
          </w:tcPr>
          <w:p w:rsidR="00D75597" w:rsidRPr="00E6283F" w:rsidRDefault="00D75597" w:rsidP="00D75597">
            <w:pPr>
              <w:pStyle w:val="ListParagraph"/>
              <w:numPr>
                <w:ilvl w:val="0"/>
                <w:numId w:val="25"/>
              </w:numPr>
              <w:spacing w:after="0" w:line="240" w:lineRule="auto"/>
              <w:rPr>
                <w:b/>
              </w:rPr>
            </w:pPr>
            <w:r w:rsidRPr="00E6283F">
              <w:t>Partners to evaluate the impact of the ‘Top Tips’ disseminated in Dec 17.</w:t>
            </w:r>
          </w:p>
          <w:p w:rsidR="00D75597" w:rsidRPr="00E6283F" w:rsidRDefault="00D75597" w:rsidP="00D75597">
            <w:pPr>
              <w:pStyle w:val="ListParagraph"/>
              <w:numPr>
                <w:ilvl w:val="0"/>
                <w:numId w:val="25"/>
              </w:numPr>
              <w:spacing w:after="0" w:line="240" w:lineRule="auto"/>
              <w:rPr>
                <w:b/>
              </w:rPr>
            </w:pPr>
            <w:r w:rsidRPr="00E6283F">
              <w:t>Referral data to be reviewed to identify any changes.</w:t>
            </w:r>
          </w:p>
          <w:p w:rsidR="00D75597" w:rsidRPr="00E6283F" w:rsidRDefault="00B06AF4" w:rsidP="00D75597">
            <w:pPr>
              <w:pStyle w:val="ListParagraph"/>
              <w:numPr>
                <w:ilvl w:val="0"/>
                <w:numId w:val="25"/>
              </w:numPr>
              <w:spacing w:after="0" w:line="240" w:lineRule="auto"/>
              <w:rPr>
                <w:b/>
              </w:rPr>
            </w:pPr>
            <w:r w:rsidRPr="00E6283F">
              <w:t xml:space="preserve">Consider whether any changes to the </w:t>
            </w:r>
            <w:r w:rsidR="007C4706">
              <w:t xml:space="preserve">‘Top </w:t>
            </w:r>
            <w:r w:rsidRPr="00E6283F">
              <w:t>Tips</w:t>
            </w:r>
            <w:r w:rsidR="007C4706">
              <w:t>’</w:t>
            </w:r>
            <w:r w:rsidRPr="00E6283F">
              <w:t xml:space="preserve"> are needed as a result of evaluation of impact</w:t>
            </w:r>
          </w:p>
        </w:tc>
        <w:tc>
          <w:tcPr>
            <w:tcW w:w="734" w:type="pct"/>
            <w:tcBorders>
              <w:bottom w:val="single" w:sz="4" w:space="0" w:color="auto"/>
            </w:tcBorders>
          </w:tcPr>
          <w:p w:rsidR="00D75597" w:rsidRDefault="00F42215" w:rsidP="00D75597">
            <w:pPr>
              <w:pStyle w:val="ListParagraph"/>
              <w:numPr>
                <w:ilvl w:val="0"/>
                <w:numId w:val="26"/>
              </w:numPr>
              <w:spacing w:after="0" w:line="240" w:lineRule="auto"/>
            </w:pPr>
            <w:r>
              <w:t xml:space="preserve">Business Support </w:t>
            </w:r>
            <w:r w:rsidR="00524508">
              <w:t>to chase non-responders</w:t>
            </w:r>
          </w:p>
          <w:p w:rsidR="00524508" w:rsidRDefault="00D75597" w:rsidP="00D75597">
            <w:pPr>
              <w:pStyle w:val="ListParagraph"/>
              <w:numPr>
                <w:ilvl w:val="0"/>
                <w:numId w:val="26"/>
              </w:numPr>
              <w:spacing w:after="0" w:line="240" w:lineRule="auto"/>
            </w:pPr>
            <w:r>
              <w:t>QA</w:t>
            </w:r>
          </w:p>
          <w:p w:rsidR="00D75597" w:rsidRDefault="00524508" w:rsidP="00D75597">
            <w:pPr>
              <w:pStyle w:val="ListParagraph"/>
              <w:numPr>
                <w:ilvl w:val="0"/>
                <w:numId w:val="26"/>
              </w:numPr>
              <w:spacing w:after="0" w:line="240" w:lineRule="auto"/>
            </w:pPr>
            <w:r>
              <w:t>TLI</w:t>
            </w:r>
          </w:p>
        </w:tc>
        <w:tc>
          <w:tcPr>
            <w:tcW w:w="491" w:type="pct"/>
            <w:tcBorders>
              <w:bottom w:val="single" w:sz="4" w:space="0" w:color="auto"/>
              <w:right w:val="single" w:sz="4" w:space="0" w:color="auto"/>
            </w:tcBorders>
          </w:tcPr>
          <w:p w:rsidR="00D75597" w:rsidRDefault="00D75597" w:rsidP="002C4EB4">
            <w:pPr>
              <w:spacing w:after="0" w:line="240" w:lineRule="auto"/>
            </w:pPr>
          </w:p>
        </w:tc>
        <w:tc>
          <w:tcPr>
            <w:tcW w:w="171" w:type="pct"/>
            <w:gridSpan w:val="2"/>
            <w:tcBorders>
              <w:left w:val="single" w:sz="4" w:space="0" w:color="auto"/>
              <w:bottom w:val="single" w:sz="4" w:space="0" w:color="auto"/>
              <w:right w:val="single" w:sz="4" w:space="0" w:color="auto"/>
            </w:tcBorders>
            <w:shd w:val="clear" w:color="auto" w:fill="C2D69B" w:themeFill="accent3" w:themeFillTint="99"/>
            <w:vAlign w:val="center"/>
          </w:tcPr>
          <w:p w:rsidR="00D75597" w:rsidRPr="00214528" w:rsidRDefault="00214528" w:rsidP="00756321">
            <w:pPr>
              <w:spacing w:after="0" w:line="240" w:lineRule="auto"/>
              <w:rPr>
                <w:rFonts w:ascii="Arial" w:hAnsi="Arial" w:cs="Arial"/>
                <w:b/>
                <w:lang w:eastAsia="en-GB"/>
              </w:rPr>
            </w:pPr>
            <w:r w:rsidRPr="00BE6646">
              <w:rPr>
                <w:rFonts w:ascii="Arial" w:hAnsi="Arial" w:cs="Arial"/>
                <w:b/>
                <w:lang w:eastAsia="en-GB"/>
              </w:rPr>
              <w:t>G</w:t>
            </w:r>
          </w:p>
        </w:tc>
        <w:tc>
          <w:tcPr>
            <w:tcW w:w="164" w:type="pct"/>
            <w:tcBorders>
              <w:left w:val="single" w:sz="4" w:space="0" w:color="auto"/>
              <w:bottom w:val="single" w:sz="4" w:space="0" w:color="auto"/>
              <w:right w:val="single" w:sz="4" w:space="0" w:color="auto"/>
            </w:tcBorders>
            <w:vAlign w:val="center"/>
          </w:tcPr>
          <w:p w:rsidR="00D75597" w:rsidRDefault="00D75597" w:rsidP="00756321">
            <w:pPr>
              <w:spacing w:after="0" w:line="240" w:lineRule="auto"/>
              <w:rPr>
                <w:i/>
              </w:rPr>
            </w:pPr>
          </w:p>
        </w:tc>
        <w:tc>
          <w:tcPr>
            <w:tcW w:w="925" w:type="pct"/>
            <w:tcBorders>
              <w:left w:val="single" w:sz="4" w:space="0" w:color="auto"/>
              <w:bottom w:val="single" w:sz="4" w:space="0" w:color="auto"/>
            </w:tcBorders>
          </w:tcPr>
          <w:p w:rsidR="00D75597" w:rsidRDefault="0076071A" w:rsidP="009E4AF9">
            <w:pPr>
              <w:spacing w:after="0" w:line="240" w:lineRule="auto"/>
              <w:rPr>
                <w:i/>
              </w:rPr>
            </w:pPr>
            <w:r>
              <w:rPr>
                <w:i/>
              </w:rPr>
              <w:t>Evaluations were received from ASC, CCG and CityCa</w:t>
            </w:r>
            <w:r w:rsidR="00B00972">
              <w:rPr>
                <w:i/>
              </w:rPr>
              <w:t>re which were positive and the ‘Tips’</w:t>
            </w:r>
            <w:r>
              <w:rPr>
                <w:i/>
              </w:rPr>
              <w:t xml:space="preserve"> have been well received. They are being built in to the revised multi-agency Policy and Procedures. Data </w:t>
            </w:r>
            <w:r w:rsidR="009E4AF9">
              <w:rPr>
                <w:i/>
              </w:rPr>
              <w:t>shows no significant impact</w:t>
            </w:r>
          </w:p>
        </w:tc>
      </w:tr>
      <w:tr w:rsidR="002E78D7" w:rsidRPr="00501685" w:rsidTr="00BE6646">
        <w:trPr>
          <w:trHeight w:val="2443"/>
          <w:jc w:val="center"/>
        </w:trPr>
        <w:tc>
          <w:tcPr>
            <w:tcW w:w="166" w:type="pct"/>
          </w:tcPr>
          <w:p w:rsidR="00D75597" w:rsidRDefault="00D75597" w:rsidP="00D73C10">
            <w:pPr>
              <w:spacing w:after="0" w:line="240" w:lineRule="auto"/>
              <w:rPr>
                <w:b/>
              </w:rPr>
            </w:pPr>
            <w:r>
              <w:rPr>
                <w:b/>
              </w:rPr>
              <w:lastRenderedPageBreak/>
              <w:t>1.3</w:t>
            </w:r>
          </w:p>
        </w:tc>
        <w:tc>
          <w:tcPr>
            <w:tcW w:w="901" w:type="pct"/>
            <w:tcBorders>
              <w:bottom w:val="single" w:sz="4" w:space="0" w:color="auto"/>
            </w:tcBorders>
          </w:tcPr>
          <w:p w:rsidR="00D75597" w:rsidRDefault="00D75597" w:rsidP="00D75597">
            <w:pPr>
              <w:rPr>
                <w:rStyle w:val="s4"/>
              </w:rPr>
            </w:pPr>
            <w:r>
              <w:rPr>
                <w:rStyle w:val="s4"/>
              </w:rPr>
              <w:t xml:space="preserve">A shared understanding of what ‘early intervention’ in safeguarding is.  </w:t>
            </w:r>
          </w:p>
          <w:p w:rsidR="00D75597" w:rsidRDefault="005B6398" w:rsidP="005B6398">
            <w:pPr>
              <w:rPr>
                <w:rStyle w:val="s4"/>
              </w:rPr>
            </w:pPr>
            <w:r>
              <w:rPr>
                <w:rStyle w:val="s4"/>
              </w:rPr>
              <w:t>Reduction in the number of</w:t>
            </w:r>
            <w:r w:rsidR="00D75597">
              <w:rPr>
                <w:rStyle w:val="s4"/>
              </w:rPr>
              <w:t xml:space="preserve"> referrals to social care for safeguarding </w:t>
            </w:r>
            <w:r>
              <w:rPr>
                <w:rStyle w:val="s4"/>
              </w:rPr>
              <w:t>that do not progress to S42 e</w:t>
            </w:r>
            <w:r w:rsidRPr="005B6398">
              <w:rPr>
                <w:rStyle w:val="s4"/>
              </w:rPr>
              <w:t>nquiries</w:t>
            </w:r>
            <w:r w:rsidR="00C159D1">
              <w:rPr>
                <w:rStyle w:val="s4"/>
              </w:rPr>
              <w:t xml:space="preserve"> but action is taken by relevant agency to support the citizen and avoid a safeguarding intervention.</w:t>
            </w:r>
          </w:p>
        </w:tc>
        <w:tc>
          <w:tcPr>
            <w:tcW w:w="1447" w:type="pct"/>
            <w:tcBorders>
              <w:bottom w:val="single" w:sz="4" w:space="0" w:color="auto"/>
            </w:tcBorders>
          </w:tcPr>
          <w:p w:rsidR="00524508" w:rsidRPr="00B06AF4" w:rsidRDefault="00D75597" w:rsidP="00524508">
            <w:pPr>
              <w:pStyle w:val="ListParagraph"/>
              <w:numPr>
                <w:ilvl w:val="0"/>
                <w:numId w:val="27"/>
              </w:numPr>
              <w:spacing w:after="0" w:line="240" w:lineRule="auto"/>
              <w:rPr>
                <w:i/>
              </w:rPr>
            </w:pPr>
            <w:r>
              <w:t xml:space="preserve">Adult Social Care to </w:t>
            </w:r>
            <w:r w:rsidR="008565B0">
              <w:t>meet with a</w:t>
            </w:r>
            <w:r w:rsidR="00524508">
              <w:t xml:space="preserve">gencies to review </w:t>
            </w:r>
            <w:r w:rsidR="008565B0">
              <w:t>practice and identify any changes arising that might involve other subgroups</w:t>
            </w:r>
          </w:p>
          <w:p w:rsidR="00D75597" w:rsidRPr="008565B0" w:rsidRDefault="00D75597" w:rsidP="008565B0">
            <w:pPr>
              <w:spacing w:after="0" w:line="240" w:lineRule="auto"/>
              <w:rPr>
                <w:i/>
              </w:rPr>
            </w:pPr>
          </w:p>
        </w:tc>
        <w:tc>
          <w:tcPr>
            <w:tcW w:w="734" w:type="pct"/>
            <w:tcBorders>
              <w:bottom w:val="single" w:sz="4" w:space="0" w:color="auto"/>
            </w:tcBorders>
          </w:tcPr>
          <w:p w:rsidR="00D75597" w:rsidRDefault="008565B0" w:rsidP="004C5D9C">
            <w:pPr>
              <w:spacing w:after="0" w:line="240" w:lineRule="auto"/>
              <w:ind w:left="360"/>
            </w:pPr>
            <w:r>
              <w:t>ASC / BMG</w:t>
            </w:r>
          </w:p>
        </w:tc>
        <w:tc>
          <w:tcPr>
            <w:tcW w:w="491" w:type="pct"/>
            <w:tcBorders>
              <w:bottom w:val="single" w:sz="4" w:space="0" w:color="auto"/>
              <w:right w:val="single" w:sz="4" w:space="0" w:color="auto"/>
            </w:tcBorders>
          </w:tcPr>
          <w:p w:rsidR="00D75597" w:rsidRDefault="005B6398" w:rsidP="002C4EB4">
            <w:pPr>
              <w:spacing w:after="0" w:line="240" w:lineRule="auto"/>
            </w:pPr>
            <w:r>
              <w:t>April 2018 and onwards</w:t>
            </w:r>
          </w:p>
        </w:tc>
        <w:tc>
          <w:tcPr>
            <w:tcW w:w="171" w:type="pct"/>
            <w:gridSpan w:val="2"/>
            <w:tcBorders>
              <w:left w:val="single" w:sz="4" w:space="0" w:color="auto"/>
              <w:bottom w:val="single" w:sz="4" w:space="0" w:color="auto"/>
              <w:right w:val="single" w:sz="4" w:space="0" w:color="auto"/>
            </w:tcBorders>
            <w:shd w:val="clear" w:color="auto" w:fill="FABF8F" w:themeFill="accent6" w:themeFillTint="99"/>
            <w:vAlign w:val="center"/>
          </w:tcPr>
          <w:p w:rsidR="00D75597" w:rsidRPr="00856331" w:rsidRDefault="00214528" w:rsidP="00856331">
            <w:pPr>
              <w:spacing w:after="0" w:line="240" w:lineRule="auto"/>
              <w:jc w:val="center"/>
              <w:rPr>
                <w:rFonts w:ascii="Arial" w:hAnsi="Arial" w:cs="Arial"/>
                <w:b/>
                <w:lang w:eastAsia="en-GB"/>
              </w:rPr>
            </w:pPr>
            <w:r w:rsidRPr="009E4AF9">
              <w:rPr>
                <w:rFonts w:ascii="Arial" w:hAnsi="Arial" w:cs="Arial"/>
                <w:b/>
                <w:lang w:eastAsia="en-GB"/>
              </w:rPr>
              <w:t>A</w:t>
            </w:r>
          </w:p>
        </w:tc>
        <w:tc>
          <w:tcPr>
            <w:tcW w:w="164" w:type="pct"/>
            <w:tcBorders>
              <w:left w:val="single" w:sz="4" w:space="0" w:color="auto"/>
              <w:bottom w:val="single" w:sz="4" w:space="0" w:color="auto"/>
              <w:right w:val="single" w:sz="4" w:space="0" w:color="auto"/>
            </w:tcBorders>
            <w:vAlign w:val="center"/>
          </w:tcPr>
          <w:p w:rsidR="00D75597" w:rsidRDefault="00D75597" w:rsidP="002C66D3">
            <w:pPr>
              <w:spacing w:after="0" w:line="240" w:lineRule="auto"/>
              <w:jc w:val="center"/>
              <w:rPr>
                <w:i/>
              </w:rPr>
            </w:pPr>
          </w:p>
        </w:tc>
        <w:tc>
          <w:tcPr>
            <w:tcW w:w="925" w:type="pct"/>
            <w:tcBorders>
              <w:left w:val="single" w:sz="4" w:space="0" w:color="auto"/>
              <w:bottom w:val="single" w:sz="4" w:space="0" w:color="auto"/>
            </w:tcBorders>
          </w:tcPr>
          <w:p w:rsidR="00D75597" w:rsidRDefault="0076071A" w:rsidP="00DD75CA">
            <w:pPr>
              <w:spacing w:after="0" w:line="240" w:lineRule="auto"/>
              <w:rPr>
                <w:i/>
              </w:rPr>
            </w:pPr>
            <w:r>
              <w:rPr>
                <w:i/>
              </w:rPr>
              <w:t xml:space="preserve">ASC lead has met with Police and Community Protection and continues dialogue with them. QA subgroup undertaking a deep dive </w:t>
            </w:r>
            <w:r w:rsidR="00B00972">
              <w:rPr>
                <w:i/>
              </w:rPr>
              <w:t xml:space="preserve">of 10 cases </w:t>
            </w:r>
            <w:r>
              <w:rPr>
                <w:i/>
              </w:rPr>
              <w:t>to review early interventions</w:t>
            </w:r>
          </w:p>
        </w:tc>
      </w:tr>
      <w:tr w:rsidR="008D0B04" w:rsidRPr="00501685" w:rsidTr="00BE6646">
        <w:trPr>
          <w:trHeight w:val="2443"/>
          <w:jc w:val="center"/>
        </w:trPr>
        <w:tc>
          <w:tcPr>
            <w:tcW w:w="166" w:type="pct"/>
          </w:tcPr>
          <w:p w:rsidR="008D0B04" w:rsidRDefault="008E41C4" w:rsidP="00D73C10">
            <w:pPr>
              <w:spacing w:after="0" w:line="240" w:lineRule="auto"/>
              <w:rPr>
                <w:b/>
              </w:rPr>
            </w:pPr>
            <w:r>
              <w:rPr>
                <w:b/>
              </w:rPr>
              <w:t>1.4</w:t>
            </w:r>
          </w:p>
        </w:tc>
        <w:tc>
          <w:tcPr>
            <w:tcW w:w="901" w:type="pct"/>
            <w:tcBorders>
              <w:bottom w:val="single" w:sz="4" w:space="0" w:color="auto"/>
            </w:tcBorders>
          </w:tcPr>
          <w:p w:rsidR="008D0B04" w:rsidRDefault="00F13E76" w:rsidP="00D75597">
            <w:pPr>
              <w:rPr>
                <w:rStyle w:val="s4"/>
              </w:rPr>
            </w:pPr>
            <w:r>
              <w:rPr>
                <w:rStyle w:val="s4"/>
              </w:rPr>
              <w:t xml:space="preserve">In the context of reduced reviewing capacity in ASC and shared responsibilities to safeguard Nottingham people, the Board takes the opportunity to identify how partners can contribute to mitigating risks arising from the reduction in reviews by ASC </w:t>
            </w:r>
          </w:p>
        </w:tc>
        <w:tc>
          <w:tcPr>
            <w:tcW w:w="1447" w:type="pct"/>
            <w:tcBorders>
              <w:bottom w:val="single" w:sz="4" w:space="0" w:color="auto"/>
            </w:tcBorders>
          </w:tcPr>
          <w:p w:rsidR="008D0B04" w:rsidRDefault="00F13E76" w:rsidP="00F13E76">
            <w:pPr>
              <w:spacing w:after="0" w:line="240" w:lineRule="auto"/>
            </w:pPr>
            <w:r>
              <w:t>Establish a Task and Finish group to identify the role other organisations might play and to make recommendations to the Board</w:t>
            </w:r>
          </w:p>
        </w:tc>
        <w:tc>
          <w:tcPr>
            <w:tcW w:w="734" w:type="pct"/>
            <w:tcBorders>
              <w:bottom w:val="single" w:sz="4" w:space="0" w:color="auto"/>
            </w:tcBorders>
          </w:tcPr>
          <w:p w:rsidR="008D0B04" w:rsidRDefault="00F13E76" w:rsidP="00F13E76">
            <w:pPr>
              <w:spacing w:after="0" w:line="240" w:lineRule="auto"/>
            </w:pPr>
            <w:r>
              <w:t>ASC Head of Safeguarding and Quality to lead T&amp;F group and involve partner organisations as appropriate</w:t>
            </w:r>
          </w:p>
        </w:tc>
        <w:tc>
          <w:tcPr>
            <w:tcW w:w="491" w:type="pct"/>
            <w:tcBorders>
              <w:bottom w:val="single" w:sz="4" w:space="0" w:color="auto"/>
              <w:right w:val="single" w:sz="4" w:space="0" w:color="auto"/>
            </w:tcBorders>
          </w:tcPr>
          <w:p w:rsidR="008D0B04" w:rsidRDefault="00F13E76" w:rsidP="002C4EB4">
            <w:pPr>
              <w:spacing w:after="0" w:line="240" w:lineRule="auto"/>
            </w:pPr>
            <w:r>
              <w:t>Report to BMG in October 2018 and Board in December 2018</w:t>
            </w:r>
          </w:p>
        </w:tc>
        <w:tc>
          <w:tcPr>
            <w:tcW w:w="171" w:type="pct"/>
            <w:gridSpan w:val="2"/>
            <w:tcBorders>
              <w:left w:val="single" w:sz="4" w:space="0" w:color="auto"/>
              <w:bottom w:val="single" w:sz="4" w:space="0" w:color="auto"/>
              <w:right w:val="single" w:sz="4" w:space="0" w:color="auto"/>
            </w:tcBorders>
            <w:shd w:val="clear" w:color="auto" w:fill="FABF8F" w:themeFill="accent6" w:themeFillTint="99"/>
            <w:vAlign w:val="center"/>
          </w:tcPr>
          <w:p w:rsidR="008D0B04" w:rsidRPr="00856331" w:rsidRDefault="00214528" w:rsidP="00856331">
            <w:pPr>
              <w:spacing w:after="0" w:line="240" w:lineRule="auto"/>
              <w:jc w:val="center"/>
              <w:rPr>
                <w:rFonts w:ascii="Arial" w:hAnsi="Arial" w:cs="Arial"/>
                <w:b/>
                <w:lang w:eastAsia="en-GB"/>
              </w:rPr>
            </w:pPr>
            <w:r w:rsidRPr="009E4AF9">
              <w:rPr>
                <w:rFonts w:ascii="Arial" w:hAnsi="Arial" w:cs="Arial"/>
                <w:b/>
                <w:lang w:eastAsia="en-GB"/>
              </w:rPr>
              <w:t>A</w:t>
            </w:r>
          </w:p>
        </w:tc>
        <w:tc>
          <w:tcPr>
            <w:tcW w:w="164" w:type="pct"/>
            <w:tcBorders>
              <w:left w:val="single" w:sz="4" w:space="0" w:color="auto"/>
              <w:bottom w:val="single" w:sz="4" w:space="0" w:color="auto"/>
              <w:right w:val="single" w:sz="4" w:space="0" w:color="auto"/>
            </w:tcBorders>
            <w:vAlign w:val="center"/>
          </w:tcPr>
          <w:p w:rsidR="008D0B04" w:rsidRDefault="008D0B04" w:rsidP="002C66D3">
            <w:pPr>
              <w:spacing w:after="0" w:line="240" w:lineRule="auto"/>
              <w:jc w:val="center"/>
              <w:rPr>
                <w:i/>
              </w:rPr>
            </w:pPr>
          </w:p>
        </w:tc>
        <w:tc>
          <w:tcPr>
            <w:tcW w:w="925" w:type="pct"/>
            <w:tcBorders>
              <w:left w:val="single" w:sz="4" w:space="0" w:color="auto"/>
              <w:bottom w:val="single" w:sz="4" w:space="0" w:color="auto"/>
            </w:tcBorders>
          </w:tcPr>
          <w:p w:rsidR="008D0B04" w:rsidRDefault="0076071A" w:rsidP="00DD75CA">
            <w:pPr>
              <w:spacing w:after="0" w:line="240" w:lineRule="auto"/>
              <w:rPr>
                <w:i/>
              </w:rPr>
            </w:pPr>
            <w:r>
              <w:rPr>
                <w:i/>
              </w:rPr>
              <w:t>Difficulties setting up meetings but first meeting in August</w:t>
            </w:r>
          </w:p>
        </w:tc>
      </w:tr>
      <w:tr w:rsidR="00FE4592" w:rsidRPr="00C6187C">
        <w:trPr>
          <w:trHeight w:val="382"/>
          <w:jc w:val="center"/>
        </w:trPr>
        <w:tc>
          <w:tcPr>
            <w:tcW w:w="5000" w:type="pct"/>
            <w:gridSpan w:val="9"/>
            <w:tcBorders>
              <w:bottom w:val="single" w:sz="4" w:space="0" w:color="auto"/>
            </w:tcBorders>
            <w:shd w:val="clear" w:color="auto" w:fill="D9D9D9" w:themeFill="background1" w:themeFillShade="D9"/>
          </w:tcPr>
          <w:p w:rsidR="00FE4592" w:rsidRPr="00C6187C" w:rsidRDefault="00FE4592" w:rsidP="00FE4592">
            <w:pPr>
              <w:keepNext/>
              <w:keepLines/>
              <w:spacing w:before="40" w:after="0" w:line="240" w:lineRule="auto"/>
              <w:jc w:val="center"/>
              <w:outlineLvl w:val="1"/>
              <w:rPr>
                <w:rFonts w:ascii="Calibri Light" w:hAnsi="Calibri Light"/>
                <w:b/>
                <w:sz w:val="28"/>
                <w:szCs w:val="28"/>
              </w:rPr>
            </w:pPr>
            <w:r>
              <w:lastRenderedPageBreak/>
              <w:br w:type="page"/>
            </w:r>
            <w:r>
              <w:rPr>
                <w:rFonts w:ascii="Calibri Light" w:hAnsi="Calibri Light"/>
                <w:b/>
                <w:sz w:val="28"/>
                <w:szCs w:val="28"/>
              </w:rPr>
              <w:t>Strategic Priority 2) Assurance</w:t>
            </w:r>
          </w:p>
        </w:tc>
      </w:tr>
      <w:tr w:rsidR="002E78D7" w:rsidRPr="00501685" w:rsidTr="00BE6646">
        <w:trPr>
          <w:trHeight w:val="1470"/>
          <w:jc w:val="center"/>
        </w:trPr>
        <w:tc>
          <w:tcPr>
            <w:tcW w:w="166" w:type="pct"/>
          </w:tcPr>
          <w:p w:rsidR="004C5D9C" w:rsidRDefault="004C5D9C" w:rsidP="00DD75CA">
            <w:pPr>
              <w:spacing w:after="0" w:line="240" w:lineRule="auto"/>
              <w:contextualSpacing/>
              <w:rPr>
                <w:b/>
              </w:rPr>
            </w:pPr>
            <w:r>
              <w:rPr>
                <w:b/>
              </w:rPr>
              <w:t>2.1</w:t>
            </w:r>
          </w:p>
        </w:tc>
        <w:tc>
          <w:tcPr>
            <w:tcW w:w="901" w:type="pct"/>
          </w:tcPr>
          <w:p w:rsidR="00E70C18" w:rsidRDefault="00E70C18" w:rsidP="00DD0E86">
            <w:pPr>
              <w:widowControl w:val="0"/>
              <w:autoSpaceDE w:val="0"/>
              <w:autoSpaceDN w:val="0"/>
              <w:adjustRightInd w:val="0"/>
              <w:rPr>
                <w:rFonts w:cs="Helvetica"/>
                <w:bCs/>
                <w:szCs w:val="29"/>
              </w:rPr>
            </w:pPr>
            <w:r>
              <w:rPr>
                <w:rFonts w:cs="Helvetica"/>
                <w:bCs/>
                <w:szCs w:val="29"/>
              </w:rPr>
              <w:t xml:space="preserve">Assurance that Safeguarding arrangements in the City are effective, person centred and outcome focussed.  </w:t>
            </w:r>
          </w:p>
          <w:p w:rsidR="004C5D9C" w:rsidRDefault="004C5D9C" w:rsidP="00DD0E86">
            <w:pPr>
              <w:widowControl w:val="0"/>
              <w:autoSpaceDE w:val="0"/>
              <w:autoSpaceDN w:val="0"/>
              <w:adjustRightInd w:val="0"/>
              <w:rPr>
                <w:rFonts w:cs="Helvetica"/>
                <w:bCs/>
                <w:szCs w:val="29"/>
              </w:rPr>
            </w:pPr>
            <w:r>
              <w:rPr>
                <w:rFonts w:cs="Helvetica"/>
                <w:bCs/>
                <w:szCs w:val="29"/>
              </w:rPr>
              <w:t>The Board receives assurance from all partner agencies on the effectiveness of their safeguarding arrangements</w:t>
            </w:r>
          </w:p>
        </w:tc>
        <w:tc>
          <w:tcPr>
            <w:tcW w:w="1447" w:type="pct"/>
          </w:tcPr>
          <w:p w:rsidR="006B75F2" w:rsidRPr="006B75F2" w:rsidRDefault="004C5D9C" w:rsidP="00DD0E86">
            <w:pPr>
              <w:pStyle w:val="ListParagraph"/>
              <w:widowControl w:val="0"/>
              <w:numPr>
                <w:ilvl w:val="0"/>
                <w:numId w:val="4"/>
              </w:numPr>
              <w:autoSpaceDE w:val="0"/>
              <w:autoSpaceDN w:val="0"/>
              <w:adjustRightInd w:val="0"/>
              <w:spacing w:after="160" w:line="259" w:lineRule="auto"/>
              <w:ind w:left="176" w:hanging="284"/>
              <w:rPr>
                <w:rFonts w:cs="Helvetica"/>
                <w:bCs/>
                <w:szCs w:val="29"/>
              </w:rPr>
            </w:pPr>
            <w:r w:rsidRPr="00EC3977">
              <w:rPr>
                <w:rFonts w:cs="Helvetica"/>
                <w:bCs/>
                <w:szCs w:val="29"/>
              </w:rPr>
              <w:t xml:space="preserve">New self-assessment framework to be completed &amp; agreed with </w:t>
            </w:r>
            <w:r w:rsidRPr="00314FE2">
              <w:rPr>
                <w:rFonts w:cs="Helvetica"/>
                <w:bCs/>
                <w:szCs w:val="29"/>
              </w:rPr>
              <w:t>NSAB</w:t>
            </w:r>
            <w:r w:rsidRPr="00314FE2">
              <w:rPr>
                <w:rFonts w:cs="Helvetica"/>
                <w:bCs/>
                <w:color w:val="FF0000"/>
                <w:szCs w:val="29"/>
              </w:rPr>
              <w:t xml:space="preserve"> </w:t>
            </w:r>
          </w:p>
          <w:p w:rsidR="004C5D9C" w:rsidRPr="006B75F2" w:rsidRDefault="004C5D9C" w:rsidP="006B75F2">
            <w:pPr>
              <w:pStyle w:val="ListParagraph"/>
              <w:widowControl w:val="0"/>
              <w:numPr>
                <w:ilvl w:val="0"/>
                <w:numId w:val="4"/>
              </w:numPr>
              <w:autoSpaceDE w:val="0"/>
              <w:autoSpaceDN w:val="0"/>
              <w:adjustRightInd w:val="0"/>
              <w:spacing w:after="160" w:line="259" w:lineRule="auto"/>
              <w:ind w:left="176" w:hanging="284"/>
              <w:rPr>
                <w:rFonts w:cs="Helvetica"/>
                <w:bCs/>
                <w:szCs w:val="29"/>
              </w:rPr>
            </w:pPr>
            <w:r w:rsidRPr="006B75F2">
              <w:rPr>
                <w:rFonts w:cs="Helvetica"/>
                <w:bCs/>
                <w:szCs w:val="29"/>
              </w:rPr>
              <w:t>All partner agencies to complete sel</w:t>
            </w:r>
            <w:r w:rsidR="00E70C18" w:rsidRPr="006B75F2">
              <w:rPr>
                <w:rFonts w:cs="Helvetica"/>
                <w:bCs/>
                <w:szCs w:val="29"/>
              </w:rPr>
              <w:t>f-assessment (</w:t>
            </w:r>
            <w:r w:rsidR="00E70C18" w:rsidRPr="006B75F2">
              <w:rPr>
                <w:rFonts w:cs="Helvetica"/>
                <w:bCs/>
                <w:i/>
                <w:szCs w:val="29"/>
              </w:rPr>
              <w:t>must include assurance about training, now the QA training scheme has ceased</w:t>
            </w:r>
            <w:r w:rsidR="00735E62" w:rsidRPr="006B75F2">
              <w:rPr>
                <w:rFonts w:cs="Helvetica"/>
                <w:bCs/>
                <w:i/>
                <w:szCs w:val="29"/>
              </w:rPr>
              <w:t xml:space="preserve"> and that a “Think Family’ approach is promoted</w:t>
            </w:r>
            <w:r w:rsidR="00E70C18" w:rsidRPr="006B75F2">
              <w:rPr>
                <w:rFonts w:cs="Helvetica"/>
                <w:bCs/>
                <w:i/>
                <w:szCs w:val="29"/>
              </w:rPr>
              <w:t>)</w:t>
            </w:r>
          </w:p>
          <w:p w:rsidR="004C5D9C" w:rsidRDefault="00785407" w:rsidP="00DD0E86">
            <w:pPr>
              <w:pStyle w:val="ListParagraph"/>
              <w:widowControl w:val="0"/>
              <w:numPr>
                <w:ilvl w:val="0"/>
                <w:numId w:val="4"/>
              </w:numPr>
              <w:autoSpaceDE w:val="0"/>
              <w:autoSpaceDN w:val="0"/>
              <w:adjustRightInd w:val="0"/>
              <w:spacing w:after="160" w:line="259" w:lineRule="auto"/>
              <w:ind w:left="176" w:hanging="284"/>
              <w:rPr>
                <w:rFonts w:cs="Helvetica"/>
                <w:bCs/>
                <w:szCs w:val="29"/>
              </w:rPr>
            </w:pPr>
            <w:r>
              <w:rPr>
                <w:rFonts w:cs="Helvetica"/>
                <w:bCs/>
                <w:szCs w:val="29"/>
              </w:rPr>
              <w:t>Relevant n</w:t>
            </w:r>
            <w:r w:rsidR="004C5D9C">
              <w:rPr>
                <w:rFonts w:cs="Helvetica"/>
                <w:bCs/>
                <w:szCs w:val="29"/>
              </w:rPr>
              <w:t>on-</w:t>
            </w:r>
            <w:r w:rsidR="00E6283F">
              <w:rPr>
                <w:rFonts w:cs="Helvetica"/>
                <w:bCs/>
                <w:szCs w:val="29"/>
              </w:rPr>
              <w:t>Board</w:t>
            </w:r>
            <w:r w:rsidR="007710B1">
              <w:rPr>
                <w:rFonts w:cs="Helvetica"/>
                <w:bCs/>
                <w:szCs w:val="29"/>
              </w:rPr>
              <w:t xml:space="preserve"> </w:t>
            </w:r>
            <w:r w:rsidR="004C5D9C">
              <w:rPr>
                <w:rFonts w:cs="Helvetica"/>
                <w:bCs/>
                <w:szCs w:val="29"/>
              </w:rPr>
              <w:t xml:space="preserve">agencies (inc. housing) to complete self-assessment.  </w:t>
            </w:r>
          </w:p>
          <w:p w:rsidR="007710B1" w:rsidRPr="007710B1" w:rsidRDefault="007710B1" w:rsidP="007710B1">
            <w:pPr>
              <w:pStyle w:val="ListParagraph"/>
              <w:widowControl w:val="0"/>
              <w:numPr>
                <w:ilvl w:val="0"/>
                <w:numId w:val="4"/>
              </w:numPr>
              <w:autoSpaceDE w:val="0"/>
              <w:autoSpaceDN w:val="0"/>
              <w:adjustRightInd w:val="0"/>
              <w:spacing w:after="160" w:line="259" w:lineRule="auto"/>
              <w:ind w:left="176" w:hanging="284"/>
              <w:rPr>
                <w:rFonts w:cs="Helvetica"/>
                <w:bCs/>
                <w:szCs w:val="29"/>
              </w:rPr>
            </w:pPr>
            <w:r w:rsidRPr="007710B1">
              <w:rPr>
                <w:rFonts w:cs="Helvetica"/>
                <w:bCs/>
                <w:szCs w:val="29"/>
              </w:rPr>
              <w:t>Effectiveness and impact of the new self assessment to be evaluated once completed</w:t>
            </w:r>
            <w:r>
              <w:rPr>
                <w:rFonts w:cs="Helvetica"/>
                <w:bCs/>
                <w:szCs w:val="29"/>
              </w:rPr>
              <w:t>.</w:t>
            </w:r>
            <w:r w:rsidRPr="007710B1">
              <w:rPr>
                <w:rFonts w:cs="Helvetica"/>
                <w:bCs/>
                <w:szCs w:val="29"/>
              </w:rPr>
              <w:t xml:space="preserve"> </w:t>
            </w:r>
          </w:p>
          <w:p w:rsidR="00E70C18" w:rsidRPr="006B75F2" w:rsidRDefault="00314FE2" w:rsidP="00D97913">
            <w:pPr>
              <w:pStyle w:val="ListParagraph"/>
              <w:widowControl w:val="0"/>
              <w:numPr>
                <w:ilvl w:val="0"/>
                <w:numId w:val="4"/>
              </w:numPr>
              <w:autoSpaceDE w:val="0"/>
              <w:autoSpaceDN w:val="0"/>
              <w:adjustRightInd w:val="0"/>
              <w:spacing w:after="160" w:line="259" w:lineRule="auto"/>
              <w:ind w:left="176" w:hanging="284"/>
              <w:rPr>
                <w:rFonts w:cs="Helvetica"/>
                <w:bCs/>
                <w:szCs w:val="29"/>
              </w:rPr>
            </w:pPr>
            <w:r w:rsidRPr="007710B1">
              <w:rPr>
                <w:rFonts w:cs="Helvetica"/>
                <w:bCs/>
                <w:szCs w:val="29"/>
              </w:rPr>
              <w:t xml:space="preserve">All partner agencies to provide </w:t>
            </w:r>
            <w:r w:rsidRPr="006B75F2">
              <w:rPr>
                <w:rFonts w:cs="Helvetica"/>
                <w:bCs/>
                <w:szCs w:val="29"/>
              </w:rPr>
              <w:t>assurance that risks to safeguarding arrangements through budget reductions have been mitigated.</w:t>
            </w:r>
          </w:p>
        </w:tc>
        <w:tc>
          <w:tcPr>
            <w:tcW w:w="734" w:type="pct"/>
          </w:tcPr>
          <w:p w:rsidR="006B75F2" w:rsidRDefault="007710B1" w:rsidP="00DD75CA">
            <w:pPr>
              <w:spacing w:after="0" w:line="240" w:lineRule="auto"/>
            </w:pPr>
            <w:r>
              <w:t xml:space="preserve">QA </w:t>
            </w:r>
          </w:p>
          <w:p w:rsidR="006B75F2" w:rsidRDefault="006B75F2" w:rsidP="00DD75CA">
            <w:pPr>
              <w:spacing w:after="0" w:line="240" w:lineRule="auto"/>
            </w:pPr>
          </w:p>
          <w:p w:rsidR="006B75F2" w:rsidRDefault="006B75F2" w:rsidP="00DD75CA">
            <w:pPr>
              <w:spacing w:after="0" w:line="240" w:lineRule="auto"/>
            </w:pPr>
          </w:p>
          <w:p w:rsidR="006B75F2" w:rsidRDefault="006B75F2" w:rsidP="00DD75CA">
            <w:pPr>
              <w:spacing w:after="0" w:line="240" w:lineRule="auto"/>
            </w:pPr>
          </w:p>
          <w:p w:rsidR="006B75F2" w:rsidRDefault="006B75F2" w:rsidP="00DD75CA">
            <w:pPr>
              <w:spacing w:after="0" w:line="240" w:lineRule="auto"/>
            </w:pPr>
          </w:p>
          <w:p w:rsidR="006B75F2" w:rsidRDefault="006B75F2" w:rsidP="00DD75CA">
            <w:pPr>
              <w:spacing w:after="0" w:line="240" w:lineRule="auto"/>
            </w:pPr>
          </w:p>
          <w:p w:rsidR="006B75F2" w:rsidRDefault="006B75F2" w:rsidP="00DD75CA">
            <w:pPr>
              <w:spacing w:after="0" w:line="240" w:lineRule="auto"/>
            </w:pPr>
          </w:p>
          <w:p w:rsidR="006B75F2" w:rsidRDefault="006B75F2" w:rsidP="00DD75CA">
            <w:pPr>
              <w:spacing w:after="0" w:line="240" w:lineRule="auto"/>
            </w:pPr>
          </w:p>
          <w:p w:rsidR="006B75F2" w:rsidRDefault="006B75F2" w:rsidP="00DD75CA">
            <w:pPr>
              <w:spacing w:after="0" w:line="240" w:lineRule="auto"/>
            </w:pPr>
          </w:p>
          <w:p w:rsidR="006B75F2" w:rsidRDefault="006B75F2" w:rsidP="00DD75CA">
            <w:pPr>
              <w:spacing w:after="0" w:line="240" w:lineRule="auto"/>
            </w:pPr>
          </w:p>
          <w:p w:rsidR="006B75F2" w:rsidRDefault="006B75F2" w:rsidP="00DD75CA">
            <w:pPr>
              <w:spacing w:after="0" w:line="240" w:lineRule="auto"/>
            </w:pPr>
            <w:r>
              <w:t>QA</w:t>
            </w:r>
          </w:p>
          <w:p w:rsidR="006B75F2" w:rsidRDefault="006B75F2" w:rsidP="00DD75CA">
            <w:pPr>
              <w:spacing w:after="0" w:line="240" w:lineRule="auto"/>
            </w:pPr>
          </w:p>
          <w:p w:rsidR="006B75F2" w:rsidRDefault="006B75F2" w:rsidP="00DD75CA">
            <w:pPr>
              <w:spacing w:after="0" w:line="240" w:lineRule="auto"/>
            </w:pPr>
          </w:p>
          <w:p w:rsidR="006B75F2" w:rsidRDefault="006B75F2" w:rsidP="00DD75CA">
            <w:pPr>
              <w:spacing w:after="0" w:line="240" w:lineRule="auto"/>
            </w:pPr>
          </w:p>
          <w:p w:rsidR="004C5D9C" w:rsidRDefault="006B75F2" w:rsidP="00DD75CA">
            <w:pPr>
              <w:spacing w:after="0" w:line="240" w:lineRule="auto"/>
            </w:pPr>
            <w:r>
              <w:t>BMG/Board</w:t>
            </w:r>
          </w:p>
        </w:tc>
        <w:tc>
          <w:tcPr>
            <w:tcW w:w="491" w:type="pct"/>
          </w:tcPr>
          <w:p w:rsidR="006B75F2" w:rsidRDefault="00314FE2" w:rsidP="00DD75CA">
            <w:pPr>
              <w:spacing w:after="0" w:line="240" w:lineRule="auto"/>
            </w:pPr>
            <w:r>
              <w:t>Report to June Board</w:t>
            </w:r>
          </w:p>
          <w:p w:rsidR="006B75F2" w:rsidRDefault="006B75F2" w:rsidP="00DD75CA">
            <w:pPr>
              <w:spacing w:after="0" w:line="240" w:lineRule="auto"/>
            </w:pPr>
          </w:p>
          <w:p w:rsidR="006B75F2" w:rsidRDefault="006B75F2" w:rsidP="00DD75CA">
            <w:pPr>
              <w:spacing w:after="0" w:line="240" w:lineRule="auto"/>
            </w:pPr>
            <w:r>
              <w:t>By 3 months after approval</w:t>
            </w:r>
          </w:p>
          <w:p w:rsidR="006B75F2" w:rsidRDefault="006B75F2" w:rsidP="00DD75CA">
            <w:pPr>
              <w:spacing w:after="0" w:line="240" w:lineRule="auto"/>
            </w:pPr>
          </w:p>
          <w:p w:rsidR="006B75F2" w:rsidRDefault="006B75F2" w:rsidP="00DD75CA">
            <w:pPr>
              <w:spacing w:after="0" w:line="240" w:lineRule="auto"/>
            </w:pPr>
          </w:p>
          <w:p w:rsidR="006B75F2" w:rsidRDefault="006B75F2" w:rsidP="00DD75CA">
            <w:pPr>
              <w:spacing w:after="0" w:line="240" w:lineRule="auto"/>
            </w:pPr>
          </w:p>
          <w:p w:rsidR="006B75F2" w:rsidRDefault="006B75F2" w:rsidP="00DD75CA">
            <w:pPr>
              <w:spacing w:after="0" w:line="240" w:lineRule="auto"/>
            </w:pPr>
          </w:p>
          <w:p w:rsidR="006B75F2" w:rsidRDefault="006B75F2" w:rsidP="00DD75CA">
            <w:pPr>
              <w:spacing w:after="0" w:line="240" w:lineRule="auto"/>
            </w:pPr>
            <w:r>
              <w:t>Report to December Board</w:t>
            </w:r>
          </w:p>
          <w:p w:rsidR="006B75F2" w:rsidRDefault="006B75F2" w:rsidP="00DD75CA">
            <w:pPr>
              <w:spacing w:after="0" w:line="240" w:lineRule="auto"/>
            </w:pPr>
          </w:p>
          <w:p w:rsidR="006B75F2" w:rsidRDefault="007E372B" w:rsidP="00DD75CA">
            <w:pPr>
              <w:spacing w:after="0" w:line="240" w:lineRule="auto"/>
            </w:pPr>
            <w:r>
              <w:t xml:space="preserve">Independent </w:t>
            </w:r>
            <w:r w:rsidR="00F42215">
              <w:t>Chair</w:t>
            </w:r>
            <w:r w:rsidR="008565B0">
              <w:t xml:space="preserve"> to make proposals to</w:t>
            </w:r>
            <w:r w:rsidR="006B75F2">
              <w:t xml:space="preserve"> June Board</w:t>
            </w:r>
          </w:p>
          <w:p w:rsidR="004C5D9C" w:rsidRDefault="004C5D9C" w:rsidP="00DD75CA">
            <w:pPr>
              <w:spacing w:after="0" w:line="240" w:lineRule="auto"/>
            </w:pPr>
          </w:p>
        </w:tc>
        <w:tc>
          <w:tcPr>
            <w:tcW w:w="171" w:type="pct"/>
            <w:gridSpan w:val="2"/>
            <w:shd w:val="clear" w:color="auto" w:fill="FF0000"/>
            <w:vAlign w:val="center"/>
          </w:tcPr>
          <w:p w:rsidR="004C5D9C" w:rsidRPr="00EE43D7" w:rsidRDefault="00214528" w:rsidP="00DD75CA">
            <w:pPr>
              <w:spacing w:after="0" w:line="240" w:lineRule="auto"/>
              <w:jc w:val="center"/>
              <w:rPr>
                <w:b/>
                <w:sz w:val="24"/>
                <w:szCs w:val="24"/>
              </w:rPr>
            </w:pPr>
            <w:r w:rsidRPr="009E4AF9">
              <w:rPr>
                <w:b/>
                <w:sz w:val="24"/>
                <w:szCs w:val="24"/>
              </w:rPr>
              <w:t>R</w:t>
            </w:r>
          </w:p>
        </w:tc>
        <w:tc>
          <w:tcPr>
            <w:tcW w:w="164" w:type="pct"/>
            <w:vAlign w:val="center"/>
          </w:tcPr>
          <w:p w:rsidR="004C5D9C" w:rsidRPr="002C66D3" w:rsidRDefault="004C5D9C" w:rsidP="002C66D3">
            <w:pPr>
              <w:spacing w:after="0" w:line="240" w:lineRule="auto"/>
              <w:jc w:val="center"/>
            </w:pPr>
          </w:p>
        </w:tc>
        <w:tc>
          <w:tcPr>
            <w:tcW w:w="925" w:type="pct"/>
          </w:tcPr>
          <w:p w:rsidR="00214528" w:rsidRDefault="0076071A" w:rsidP="00DD75CA">
            <w:pPr>
              <w:spacing w:after="0" w:line="240" w:lineRule="auto"/>
              <w:rPr>
                <w:i/>
              </w:rPr>
            </w:pPr>
            <w:r w:rsidRPr="0076071A">
              <w:rPr>
                <w:i/>
              </w:rPr>
              <w:t>Process has brought out various concerns about what is effective or necessary and potential duplications. Joint meeting of QA subgroups in City and County to review and develop proposals</w:t>
            </w:r>
            <w:r w:rsidR="00214528">
              <w:rPr>
                <w:i/>
              </w:rPr>
              <w:t>.</w:t>
            </w:r>
          </w:p>
          <w:p w:rsidR="00214528" w:rsidRDefault="00214528" w:rsidP="00DD75CA">
            <w:pPr>
              <w:spacing w:after="0" w:line="240" w:lineRule="auto"/>
              <w:rPr>
                <w:i/>
              </w:rPr>
            </w:pPr>
          </w:p>
          <w:p w:rsidR="00214528" w:rsidRDefault="00214528" w:rsidP="00DD75CA">
            <w:pPr>
              <w:spacing w:after="0" w:line="240" w:lineRule="auto"/>
              <w:rPr>
                <w:i/>
              </w:rPr>
            </w:pPr>
            <w:r>
              <w:rPr>
                <w:i/>
              </w:rPr>
              <w:t>As a result of consequent delays, no assurance exercise has been completed with the Board agencies – to be discussed with Board in September.</w:t>
            </w:r>
          </w:p>
          <w:p w:rsidR="004C5D9C" w:rsidRPr="0076071A" w:rsidRDefault="00214528" w:rsidP="00DD75CA">
            <w:pPr>
              <w:spacing w:after="0" w:line="240" w:lineRule="auto"/>
              <w:rPr>
                <w:i/>
              </w:rPr>
            </w:pPr>
            <w:r>
              <w:rPr>
                <w:i/>
              </w:rPr>
              <w:t xml:space="preserve">Questionnaire </w:t>
            </w:r>
            <w:r w:rsidR="00B00972">
              <w:rPr>
                <w:i/>
              </w:rPr>
              <w:t xml:space="preserve">has been sent to agencies for assurance on (e) </w:t>
            </w:r>
          </w:p>
        </w:tc>
      </w:tr>
      <w:tr w:rsidR="002E78D7" w:rsidRPr="00501685" w:rsidTr="00BE6646">
        <w:trPr>
          <w:trHeight w:val="722"/>
          <w:jc w:val="center"/>
        </w:trPr>
        <w:tc>
          <w:tcPr>
            <w:tcW w:w="166" w:type="pct"/>
            <w:vMerge w:val="restart"/>
          </w:tcPr>
          <w:p w:rsidR="003646D1" w:rsidRDefault="004C5D9C" w:rsidP="00DD75CA">
            <w:pPr>
              <w:spacing w:after="0" w:line="240" w:lineRule="auto"/>
              <w:contextualSpacing/>
              <w:rPr>
                <w:b/>
              </w:rPr>
            </w:pPr>
            <w:r>
              <w:rPr>
                <w:b/>
              </w:rPr>
              <w:t>2.2</w:t>
            </w:r>
            <w:r w:rsidR="003646D1">
              <w:rPr>
                <w:b/>
              </w:rPr>
              <w:t xml:space="preserve"> </w:t>
            </w: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Pr="00501685" w:rsidRDefault="003646D1" w:rsidP="00DD75CA">
            <w:pPr>
              <w:spacing w:after="0" w:line="240" w:lineRule="auto"/>
              <w:contextualSpacing/>
              <w:rPr>
                <w:b/>
              </w:rPr>
            </w:pPr>
          </w:p>
        </w:tc>
        <w:tc>
          <w:tcPr>
            <w:tcW w:w="901" w:type="pct"/>
            <w:vMerge w:val="restart"/>
          </w:tcPr>
          <w:p w:rsidR="003646D1" w:rsidRPr="001C04B2" w:rsidRDefault="003646D1" w:rsidP="00DD0E86">
            <w:pPr>
              <w:widowControl w:val="0"/>
              <w:autoSpaceDE w:val="0"/>
              <w:autoSpaceDN w:val="0"/>
              <w:adjustRightInd w:val="0"/>
              <w:rPr>
                <w:b/>
              </w:rPr>
            </w:pPr>
            <w:r>
              <w:rPr>
                <w:rFonts w:cs="Helvetica"/>
                <w:bCs/>
                <w:szCs w:val="29"/>
              </w:rPr>
              <w:lastRenderedPageBreak/>
              <w:t xml:space="preserve">Assurance that learning from SARs (and other serious incidents) is embedded across the </w:t>
            </w:r>
            <w:r>
              <w:rPr>
                <w:rFonts w:cs="Helvetica"/>
                <w:bCs/>
                <w:szCs w:val="29"/>
              </w:rPr>
              <w:lastRenderedPageBreak/>
              <w:t xml:space="preserve">partnership, to achieve continuous improvement of local safeguarding arrangements. </w:t>
            </w:r>
          </w:p>
        </w:tc>
        <w:tc>
          <w:tcPr>
            <w:tcW w:w="1447" w:type="pct"/>
          </w:tcPr>
          <w:p w:rsidR="003646D1" w:rsidRPr="003377F8" w:rsidRDefault="006B75F2" w:rsidP="006B75F2">
            <w:pPr>
              <w:pStyle w:val="ListParagraph"/>
              <w:widowControl w:val="0"/>
              <w:numPr>
                <w:ilvl w:val="0"/>
                <w:numId w:val="28"/>
              </w:numPr>
              <w:autoSpaceDE w:val="0"/>
              <w:autoSpaceDN w:val="0"/>
              <w:adjustRightInd w:val="0"/>
              <w:spacing w:after="160" w:line="259" w:lineRule="auto"/>
              <w:rPr>
                <w:rFonts w:cs="Helvetica"/>
                <w:bCs/>
                <w:szCs w:val="29"/>
              </w:rPr>
            </w:pPr>
            <w:r>
              <w:rPr>
                <w:rFonts w:cs="Helvetica"/>
                <w:bCs/>
                <w:szCs w:val="29"/>
              </w:rPr>
              <w:lastRenderedPageBreak/>
              <w:t>Pilot, evaluate, implement &amp; review the complex case review process</w:t>
            </w:r>
            <w:r w:rsidR="003646D1">
              <w:rPr>
                <w:rFonts w:cs="Helvetica"/>
                <w:bCs/>
                <w:szCs w:val="29"/>
              </w:rPr>
              <w:t xml:space="preserve">.  </w:t>
            </w:r>
          </w:p>
        </w:tc>
        <w:tc>
          <w:tcPr>
            <w:tcW w:w="734" w:type="pct"/>
          </w:tcPr>
          <w:p w:rsidR="003646D1" w:rsidRDefault="006B75F2" w:rsidP="00DD75CA">
            <w:pPr>
              <w:spacing w:after="0" w:line="240" w:lineRule="auto"/>
            </w:pPr>
            <w:r>
              <w:t xml:space="preserve">SAR subgroup </w:t>
            </w:r>
          </w:p>
          <w:p w:rsidR="003646D1" w:rsidRPr="00501685" w:rsidRDefault="003646D1" w:rsidP="00DD75CA">
            <w:pPr>
              <w:spacing w:after="0" w:line="240" w:lineRule="auto"/>
            </w:pPr>
          </w:p>
        </w:tc>
        <w:tc>
          <w:tcPr>
            <w:tcW w:w="491" w:type="pct"/>
          </w:tcPr>
          <w:p w:rsidR="003646D1" w:rsidRPr="009E55D2" w:rsidRDefault="008565B0" w:rsidP="00DD75CA">
            <w:pPr>
              <w:spacing w:after="0" w:line="240" w:lineRule="auto"/>
            </w:pPr>
            <w:r>
              <w:t>Aim for process in place June and review at year end</w:t>
            </w:r>
          </w:p>
        </w:tc>
        <w:tc>
          <w:tcPr>
            <w:tcW w:w="171" w:type="pct"/>
            <w:gridSpan w:val="2"/>
            <w:shd w:val="clear" w:color="auto" w:fill="auto"/>
            <w:vAlign w:val="center"/>
          </w:tcPr>
          <w:p w:rsidR="003646D1" w:rsidRPr="00EE43D7" w:rsidRDefault="009E4AF9" w:rsidP="009E4AF9">
            <w:pPr>
              <w:spacing w:after="0" w:line="240" w:lineRule="auto"/>
              <w:rPr>
                <w:b/>
                <w:sz w:val="24"/>
                <w:szCs w:val="24"/>
              </w:rPr>
            </w:pPr>
            <w:r>
              <w:rPr>
                <w:b/>
                <w:sz w:val="24"/>
                <w:szCs w:val="24"/>
              </w:rPr>
              <w:t>C</w:t>
            </w:r>
          </w:p>
        </w:tc>
        <w:tc>
          <w:tcPr>
            <w:tcW w:w="164" w:type="pct"/>
            <w:vAlign w:val="center"/>
          </w:tcPr>
          <w:p w:rsidR="003646D1" w:rsidRPr="002C66D3" w:rsidRDefault="003646D1" w:rsidP="002C66D3">
            <w:pPr>
              <w:spacing w:after="0" w:line="240" w:lineRule="auto"/>
              <w:jc w:val="center"/>
            </w:pPr>
          </w:p>
        </w:tc>
        <w:tc>
          <w:tcPr>
            <w:tcW w:w="925" w:type="pct"/>
            <w:vMerge w:val="restart"/>
          </w:tcPr>
          <w:p w:rsidR="00B00972" w:rsidRDefault="00214528" w:rsidP="00214528">
            <w:pPr>
              <w:spacing w:after="0" w:line="240" w:lineRule="auto"/>
              <w:rPr>
                <w:i/>
              </w:rPr>
            </w:pPr>
            <w:r w:rsidRPr="00214528">
              <w:rPr>
                <w:i/>
              </w:rPr>
              <w:t>Process in place and case being considered by the SAR subgroup</w:t>
            </w:r>
          </w:p>
          <w:p w:rsidR="00B00972" w:rsidRDefault="00B00972" w:rsidP="00214528">
            <w:pPr>
              <w:spacing w:after="0" w:line="240" w:lineRule="auto"/>
              <w:rPr>
                <w:i/>
              </w:rPr>
            </w:pPr>
          </w:p>
          <w:p w:rsidR="00B00972" w:rsidRDefault="00B00972" w:rsidP="00214528">
            <w:pPr>
              <w:spacing w:after="0" w:line="240" w:lineRule="auto"/>
              <w:rPr>
                <w:i/>
              </w:rPr>
            </w:pPr>
          </w:p>
          <w:p w:rsidR="00B00972" w:rsidRDefault="00B00972" w:rsidP="00B00972">
            <w:pPr>
              <w:spacing w:after="0" w:line="240" w:lineRule="auto"/>
              <w:rPr>
                <w:i/>
              </w:rPr>
            </w:pPr>
            <w:r>
              <w:rPr>
                <w:i/>
              </w:rPr>
              <w:lastRenderedPageBreak/>
              <w:t>Good level of assurance about implementation within agencies but gaps in meetings of TLI subgroup and absence of a Board Manager has meant learning and development beyond agencies has not happened</w:t>
            </w:r>
          </w:p>
          <w:p w:rsidR="00B00972" w:rsidRDefault="009F2683" w:rsidP="00B00972">
            <w:pPr>
              <w:spacing w:after="0" w:line="240" w:lineRule="auto"/>
              <w:rPr>
                <w:i/>
              </w:rPr>
            </w:pPr>
            <w:r>
              <w:rPr>
                <w:i/>
              </w:rPr>
              <w:t xml:space="preserve">c) </w:t>
            </w:r>
            <w:r w:rsidR="00B00972">
              <w:rPr>
                <w:i/>
              </w:rPr>
              <w:t>Without Board Manager, SAB has not participated but members of SAR subgroup have shared their knowledge of these</w:t>
            </w:r>
          </w:p>
          <w:p w:rsidR="00B00972" w:rsidRDefault="00B00972" w:rsidP="00B00972">
            <w:pPr>
              <w:spacing w:after="0" w:line="240" w:lineRule="auto"/>
              <w:rPr>
                <w:i/>
              </w:rPr>
            </w:pPr>
          </w:p>
          <w:p w:rsidR="00B00972" w:rsidRDefault="00B00972" w:rsidP="00B00972">
            <w:pPr>
              <w:spacing w:after="0" w:line="240" w:lineRule="auto"/>
              <w:rPr>
                <w:i/>
              </w:rPr>
            </w:pPr>
            <w:r>
              <w:rPr>
                <w:i/>
              </w:rPr>
              <w:t xml:space="preserve">SAR subgroup has built in learning from the regional analysis </w:t>
            </w:r>
          </w:p>
          <w:p w:rsidR="00B00972" w:rsidRDefault="00B00972" w:rsidP="00B00972">
            <w:pPr>
              <w:spacing w:after="0" w:line="240" w:lineRule="auto"/>
              <w:rPr>
                <w:i/>
              </w:rPr>
            </w:pPr>
          </w:p>
          <w:p w:rsidR="00B00972" w:rsidRDefault="00B00972" w:rsidP="00B00972">
            <w:pPr>
              <w:spacing w:after="0" w:line="240" w:lineRule="auto"/>
              <w:rPr>
                <w:i/>
              </w:rPr>
            </w:pPr>
          </w:p>
          <w:p w:rsidR="003646D1" w:rsidRPr="00214528" w:rsidRDefault="00B00972" w:rsidP="00B00972">
            <w:pPr>
              <w:spacing w:after="0" w:line="240" w:lineRule="auto"/>
              <w:rPr>
                <w:i/>
              </w:rPr>
            </w:pPr>
            <w:r>
              <w:rPr>
                <w:i/>
              </w:rPr>
              <w:t>Board members to be surveyed in 2019</w:t>
            </w:r>
          </w:p>
        </w:tc>
      </w:tr>
      <w:tr w:rsidR="002E78D7" w:rsidRPr="00501685" w:rsidTr="00BE6646">
        <w:trPr>
          <w:trHeight w:val="1426"/>
          <w:jc w:val="center"/>
        </w:trPr>
        <w:tc>
          <w:tcPr>
            <w:tcW w:w="166" w:type="pct"/>
            <w:vMerge/>
          </w:tcPr>
          <w:p w:rsidR="003646D1" w:rsidRDefault="003646D1" w:rsidP="00DD75CA">
            <w:pPr>
              <w:spacing w:after="0" w:line="240" w:lineRule="auto"/>
              <w:contextualSpacing/>
              <w:rPr>
                <w:b/>
              </w:rPr>
            </w:pPr>
          </w:p>
        </w:tc>
        <w:tc>
          <w:tcPr>
            <w:tcW w:w="901" w:type="pct"/>
            <w:vMerge/>
          </w:tcPr>
          <w:p w:rsidR="003646D1" w:rsidRDefault="003646D1" w:rsidP="00DD75CA">
            <w:pPr>
              <w:widowControl w:val="0"/>
              <w:autoSpaceDE w:val="0"/>
              <w:autoSpaceDN w:val="0"/>
              <w:adjustRightInd w:val="0"/>
              <w:rPr>
                <w:rFonts w:cs="Helvetica"/>
                <w:bCs/>
                <w:szCs w:val="29"/>
              </w:rPr>
            </w:pPr>
          </w:p>
        </w:tc>
        <w:tc>
          <w:tcPr>
            <w:tcW w:w="1447" w:type="pct"/>
          </w:tcPr>
          <w:p w:rsidR="000842E4" w:rsidRPr="00D97913" w:rsidRDefault="006B75F2" w:rsidP="006B75F2">
            <w:pPr>
              <w:pStyle w:val="ListParagraph"/>
              <w:widowControl w:val="0"/>
              <w:numPr>
                <w:ilvl w:val="0"/>
                <w:numId w:val="28"/>
              </w:numPr>
              <w:autoSpaceDE w:val="0"/>
              <w:autoSpaceDN w:val="0"/>
              <w:adjustRightInd w:val="0"/>
              <w:spacing w:after="160" w:line="259" w:lineRule="auto"/>
              <w:rPr>
                <w:rFonts w:cs="Helvetica"/>
                <w:bCs/>
                <w:szCs w:val="29"/>
              </w:rPr>
            </w:pPr>
            <w:r>
              <w:rPr>
                <w:rFonts w:cs="Helvetica"/>
                <w:bCs/>
                <w:szCs w:val="29"/>
              </w:rPr>
              <w:t xml:space="preserve">The </w:t>
            </w:r>
            <w:r w:rsidRPr="007A6FCC">
              <w:rPr>
                <w:rFonts w:cs="Helvetica"/>
                <w:bCs/>
                <w:szCs w:val="29"/>
              </w:rPr>
              <w:t xml:space="preserve">recommendations and plans from the three SARs </w:t>
            </w:r>
            <w:r>
              <w:rPr>
                <w:rFonts w:cs="Helvetica"/>
                <w:bCs/>
                <w:szCs w:val="29"/>
              </w:rPr>
              <w:t>completed in 2016-7 and from complex case reviews will continue to be implemented. This includes ensuring that lessons learned are disseminated in learning &amp; development initiatives</w:t>
            </w:r>
          </w:p>
        </w:tc>
        <w:tc>
          <w:tcPr>
            <w:tcW w:w="734" w:type="pct"/>
          </w:tcPr>
          <w:p w:rsidR="003646D1" w:rsidRDefault="008565B0" w:rsidP="008565B0">
            <w:pPr>
              <w:spacing w:after="0" w:line="240" w:lineRule="auto"/>
            </w:pPr>
            <w:r>
              <w:t>SAR subgroup</w:t>
            </w:r>
            <w:r w:rsidR="006B75F2">
              <w:t xml:space="preserve"> </w:t>
            </w:r>
            <w:r>
              <w:t xml:space="preserve">to hold action plans, review SAR  action implementation, and TLI subgroup to develop learning methods </w:t>
            </w:r>
          </w:p>
        </w:tc>
        <w:tc>
          <w:tcPr>
            <w:tcW w:w="491" w:type="pct"/>
          </w:tcPr>
          <w:p w:rsidR="003646D1" w:rsidRPr="00726DB4" w:rsidRDefault="003646D1" w:rsidP="00DD75CA">
            <w:pPr>
              <w:spacing w:after="0" w:line="240" w:lineRule="auto"/>
            </w:pPr>
          </w:p>
        </w:tc>
        <w:tc>
          <w:tcPr>
            <w:tcW w:w="171" w:type="pct"/>
            <w:gridSpan w:val="2"/>
            <w:shd w:val="clear" w:color="auto" w:fill="FF0000"/>
            <w:vAlign w:val="center"/>
          </w:tcPr>
          <w:p w:rsidR="003646D1" w:rsidRPr="00EE43D7" w:rsidRDefault="00214528" w:rsidP="00DD75CA">
            <w:pPr>
              <w:spacing w:after="0" w:line="240" w:lineRule="auto"/>
              <w:jc w:val="center"/>
              <w:rPr>
                <w:b/>
                <w:sz w:val="24"/>
                <w:szCs w:val="24"/>
              </w:rPr>
            </w:pPr>
            <w:r w:rsidRPr="009E4AF9">
              <w:rPr>
                <w:b/>
                <w:sz w:val="24"/>
                <w:szCs w:val="24"/>
              </w:rPr>
              <w:t>R</w:t>
            </w:r>
          </w:p>
        </w:tc>
        <w:tc>
          <w:tcPr>
            <w:tcW w:w="164" w:type="pct"/>
            <w:vAlign w:val="center"/>
          </w:tcPr>
          <w:p w:rsidR="003646D1" w:rsidRPr="002C66D3" w:rsidRDefault="003646D1" w:rsidP="002C66D3">
            <w:pPr>
              <w:spacing w:after="0" w:line="240" w:lineRule="auto"/>
              <w:jc w:val="center"/>
            </w:pPr>
          </w:p>
        </w:tc>
        <w:tc>
          <w:tcPr>
            <w:tcW w:w="925" w:type="pct"/>
            <w:vMerge/>
          </w:tcPr>
          <w:p w:rsidR="003646D1" w:rsidRDefault="003646D1" w:rsidP="00DD75CA">
            <w:pPr>
              <w:spacing w:after="0" w:line="240" w:lineRule="auto"/>
              <w:rPr>
                <w:i/>
              </w:rPr>
            </w:pPr>
          </w:p>
        </w:tc>
      </w:tr>
      <w:tr w:rsidR="002E78D7" w:rsidRPr="00501685" w:rsidTr="00BE6646">
        <w:trPr>
          <w:trHeight w:val="1426"/>
          <w:jc w:val="center"/>
        </w:trPr>
        <w:tc>
          <w:tcPr>
            <w:tcW w:w="166" w:type="pct"/>
            <w:vMerge/>
          </w:tcPr>
          <w:p w:rsidR="003646D1" w:rsidRDefault="003646D1" w:rsidP="00DD75CA">
            <w:pPr>
              <w:spacing w:after="0" w:line="240" w:lineRule="auto"/>
              <w:contextualSpacing/>
              <w:rPr>
                <w:b/>
              </w:rPr>
            </w:pPr>
          </w:p>
        </w:tc>
        <w:tc>
          <w:tcPr>
            <w:tcW w:w="901" w:type="pct"/>
            <w:vMerge/>
          </w:tcPr>
          <w:p w:rsidR="003646D1" w:rsidRDefault="003646D1" w:rsidP="00DD75CA">
            <w:pPr>
              <w:widowControl w:val="0"/>
              <w:autoSpaceDE w:val="0"/>
              <w:autoSpaceDN w:val="0"/>
              <w:adjustRightInd w:val="0"/>
              <w:rPr>
                <w:rFonts w:cs="Helvetica"/>
                <w:bCs/>
                <w:szCs w:val="29"/>
              </w:rPr>
            </w:pPr>
          </w:p>
        </w:tc>
        <w:tc>
          <w:tcPr>
            <w:tcW w:w="1447" w:type="pct"/>
          </w:tcPr>
          <w:p w:rsidR="003646D1" w:rsidRPr="00474D64" w:rsidRDefault="007710B1" w:rsidP="00285D60">
            <w:pPr>
              <w:pStyle w:val="ListParagraph"/>
              <w:widowControl w:val="0"/>
              <w:numPr>
                <w:ilvl w:val="0"/>
                <w:numId w:val="28"/>
              </w:numPr>
              <w:autoSpaceDE w:val="0"/>
              <w:autoSpaceDN w:val="0"/>
              <w:adjustRightInd w:val="0"/>
              <w:spacing w:after="160" w:line="259" w:lineRule="auto"/>
              <w:rPr>
                <w:rFonts w:cs="Helvetica"/>
                <w:bCs/>
                <w:szCs w:val="29"/>
              </w:rPr>
            </w:pPr>
            <w:r>
              <w:rPr>
                <w:rFonts w:cs="Helvetica"/>
                <w:bCs/>
                <w:szCs w:val="29"/>
              </w:rPr>
              <w:t>I</w:t>
            </w:r>
            <w:r w:rsidR="003646D1" w:rsidRPr="00474D64">
              <w:rPr>
                <w:rFonts w:cs="Helvetica"/>
                <w:bCs/>
                <w:szCs w:val="29"/>
              </w:rPr>
              <w:t>m</w:t>
            </w:r>
            <w:r>
              <w:rPr>
                <w:rFonts w:cs="Helvetica"/>
                <w:bCs/>
                <w:szCs w:val="29"/>
              </w:rPr>
              <w:t>plement and keep under review the</w:t>
            </w:r>
            <w:r w:rsidR="003646D1" w:rsidRPr="00474D64">
              <w:rPr>
                <w:rFonts w:cs="Helvetica"/>
                <w:bCs/>
                <w:szCs w:val="29"/>
              </w:rPr>
              <w:t xml:space="preserve"> protocol to share learning from DHRs, SCRs and SARs across the partn</w:t>
            </w:r>
            <w:r w:rsidR="00EC3977">
              <w:rPr>
                <w:rFonts w:cs="Helvetica"/>
                <w:bCs/>
                <w:szCs w:val="29"/>
              </w:rPr>
              <w:t xml:space="preserve">erships and across City/County </w:t>
            </w:r>
            <w:r w:rsidR="003646D1" w:rsidRPr="00474D64">
              <w:rPr>
                <w:rFonts w:cs="Helvetica"/>
                <w:bCs/>
                <w:szCs w:val="29"/>
              </w:rPr>
              <w:t xml:space="preserve">as appropriate.   </w:t>
            </w:r>
          </w:p>
        </w:tc>
        <w:tc>
          <w:tcPr>
            <w:tcW w:w="734" w:type="pct"/>
          </w:tcPr>
          <w:p w:rsidR="003646D1" w:rsidRDefault="003646D1" w:rsidP="00726DB4">
            <w:pPr>
              <w:spacing w:after="0" w:line="240" w:lineRule="auto"/>
            </w:pPr>
            <w:r>
              <w:t>Board Manager (in collaboration with Children’s Board officer &amp; DV Policy Officer) /SAR subgroup</w:t>
            </w:r>
            <w:r w:rsidRPr="00474D64">
              <w:t xml:space="preserve"> </w:t>
            </w:r>
          </w:p>
        </w:tc>
        <w:tc>
          <w:tcPr>
            <w:tcW w:w="491" w:type="pct"/>
          </w:tcPr>
          <w:p w:rsidR="003646D1" w:rsidRPr="00726DB4" w:rsidRDefault="003646D1" w:rsidP="00DD75CA">
            <w:pPr>
              <w:spacing w:after="0" w:line="240" w:lineRule="auto"/>
            </w:pPr>
          </w:p>
        </w:tc>
        <w:tc>
          <w:tcPr>
            <w:tcW w:w="171" w:type="pct"/>
            <w:gridSpan w:val="2"/>
            <w:shd w:val="clear" w:color="auto" w:fill="FABF8F" w:themeFill="accent6" w:themeFillTint="99"/>
            <w:vAlign w:val="center"/>
          </w:tcPr>
          <w:p w:rsidR="003646D1" w:rsidRPr="00EE43D7" w:rsidRDefault="00214528" w:rsidP="00DD75CA">
            <w:pPr>
              <w:spacing w:after="0" w:line="240" w:lineRule="auto"/>
              <w:jc w:val="center"/>
              <w:rPr>
                <w:b/>
                <w:sz w:val="24"/>
                <w:szCs w:val="24"/>
              </w:rPr>
            </w:pPr>
            <w:r w:rsidRPr="009E4AF9">
              <w:rPr>
                <w:b/>
                <w:sz w:val="24"/>
                <w:szCs w:val="24"/>
              </w:rPr>
              <w:t>A</w:t>
            </w:r>
          </w:p>
        </w:tc>
        <w:tc>
          <w:tcPr>
            <w:tcW w:w="164" w:type="pct"/>
            <w:vAlign w:val="center"/>
          </w:tcPr>
          <w:p w:rsidR="003646D1" w:rsidRPr="002C66D3" w:rsidRDefault="003646D1" w:rsidP="002C66D3">
            <w:pPr>
              <w:spacing w:after="0" w:line="240" w:lineRule="auto"/>
              <w:jc w:val="center"/>
            </w:pPr>
          </w:p>
        </w:tc>
        <w:tc>
          <w:tcPr>
            <w:tcW w:w="925" w:type="pct"/>
            <w:vMerge/>
          </w:tcPr>
          <w:p w:rsidR="003646D1" w:rsidRDefault="003646D1" w:rsidP="00DD75CA">
            <w:pPr>
              <w:spacing w:after="0" w:line="240" w:lineRule="auto"/>
              <w:rPr>
                <w:i/>
              </w:rPr>
            </w:pPr>
          </w:p>
        </w:tc>
      </w:tr>
      <w:tr w:rsidR="002E78D7" w:rsidRPr="00501685" w:rsidTr="00BE6646">
        <w:trPr>
          <w:trHeight w:val="416"/>
          <w:jc w:val="center"/>
        </w:trPr>
        <w:tc>
          <w:tcPr>
            <w:tcW w:w="166" w:type="pct"/>
            <w:vMerge/>
            <w:tcBorders>
              <w:bottom w:val="single" w:sz="4" w:space="0" w:color="auto"/>
            </w:tcBorders>
          </w:tcPr>
          <w:p w:rsidR="003646D1" w:rsidRDefault="003646D1" w:rsidP="00DD75CA">
            <w:pPr>
              <w:spacing w:after="0" w:line="240" w:lineRule="auto"/>
              <w:contextualSpacing/>
              <w:rPr>
                <w:b/>
              </w:rPr>
            </w:pPr>
          </w:p>
        </w:tc>
        <w:tc>
          <w:tcPr>
            <w:tcW w:w="901" w:type="pct"/>
            <w:vMerge/>
            <w:tcBorders>
              <w:bottom w:val="single" w:sz="4" w:space="0" w:color="auto"/>
            </w:tcBorders>
          </w:tcPr>
          <w:p w:rsidR="003646D1" w:rsidRDefault="003646D1" w:rsidP="00DD75CA">
            <w:pPr>
              <w:widowControl w:val="0"/>
              <w:autoSpaceDE w:val="0"/>
              <w:autoSpaceDN w:val="0"/>
              <w:adjustRightInd w:val="0"/>
              <w:rPr>
                <w:rFonts w:cs="Helvetica"/>
                <w:bCs/>
                <w:szCs w:val="29"/>
              </w:rPr>
            </w:pPr>
          </w:p>
        </w:tc>
        <w:tc>
          <w:tcPr>
            <w:tcW w:w="1447" w:type="pct"/>
            <w:tcBorders>
              <w:bottom w:val="single" w:sz="4" w:space="0" w:color="auto"/>
            </w:tcBorders>
          </w:tcPr>
          <w:p w:rsidR="0019735E" w:rsidRDefault="00EC3977" w:rsidP="004C5D9C">
            <w:pPr>
              <w:pStyle w:val="ListParagraph"/>
              <w:widowControl w:val="0"/>
              <w:numPr>
                <w:ilvl w:val="0"/>
                <w:numId w:val="28"/>
              </w:numPr>
              <w:autoSpaceDE w:val="0"/>
              <w:autoSpaceDN w:val="0"/>
              <w:adjustRightInd w:val="0"/>
              <w:spacing w:after="160" w:line="259" w:lineRule="auto"/>
              <w:ind w:left="176" w:hanging="284"/>
              <w:rPr>
                <w:rFonts w:cs="Helvetica"/>
                <w:bCs/>
                <w:szCs w:val="29"/>
              </w:rPr>
            </w:pPr>
            <w:r>
              <w:rPr>
                <w:rFonts w:cs="Helvetica"/>
                <w:bCs/>
                <w:szCs w:val="29"/>
              </w:rPr>
              <w:t xml:space="preserve">Review </w:t>
            </w:r>
            <w:r w:rsidR="004C5D9C">
              <w:rPr>
                <w:rFonts w:cs="Helvetica"/>
                <w:bCs/>
                <w:szCs w:val="29"/>
              </w:rPr>
              <w:t>learning from regional SAR analysis</w:t>
            </w:r>
            <w:r w:rsidR="006B75F2">
              <w:rPr>
                <w:rFonts w:cs="Helvetica"/>
                <w:bCs/>
                <w:szCs w:val="29"/>
              </w:rPr>
              <w:t xml:space="preserve"> and other serious incident reviews</w:t>
            </w:r>
            <w:r w:rsidR="004C5D9C">
              <w:rPr>
                <w:rFonts w:cs="Helvetica"/>
                <w:bCs/>
                <w:szCs w:val="29"/>
              </w:rPr>
              <w:t xml:space="preserve"> and apply to Nottingham.</w:t>
            </w:r>
          </w:p>
          <w:p w:rsidR="008565B0" w:rsidRDefault="008565B0" w:rsidP="0019735E">
            <w:pPr>
              <w:widowControl w:val="0"/>
              <w:autoSpaceDE w:val="0"/>
              <w:autoSpaceDN w:val="0"/>
              <w:adjustRightInd w:val="0"/>
              <w:spacing w:after="160" w:line="259" w:lineRule="auto"/>
              <w:rPr>
                <w:rFonts w:cs="Helvetica"/>
                <w:bCs/>
                <w:szCs w:val="29"/>
              </w:rPr>
            </w:pPr>
          </w:p>
          <w:p w:rsidR="0019735E" w:rsidRPr="0019735E" w:rsidRDefault="0019735E" w:rsidP="0019735E">
            <w:pPr>
              <w:widowControl w:val="0"/>
              <w:autoSpaceDE w:val="0"/>
              <w:autoSpaceDN w:val="0"/>
              <w:adjustRightInd w:val="0"/>
              <w:spacing w:after="160" w:line="259" w:lineRule="auto"/>
              <w:rPr>
                <w:rFonts w:cs="Helvetica"/>
                <w:bCs/>
                <w:szCs w:val="29"/>
              </w:rPr>
            </w:pPr>
          </w:p>
          <w:p w:rsidR="003646D1" w:rsidRPr="00474D64" w:rsidRDefault="0019735E" w:rsidP="004C5D9C">
            <w:pPr>
              <w:pStyle w:val="ListParagraph"/>
              <w:widowControl w:val="0"/>
              <w:numPr>
                <w:ilvl w:val="0"/>
                <w:numId w:val="28"/>
              </w:numPr>
              <w:autoSpaceDE w:val="0"/>
              <w:autoSpaceDN w:val="0"/>
              <w:adjustRightInd w:val="0"/>
              <w:spacing w:after="160" w:line="259" w:lineRule="auto"/>
              <w:ind w:left="176" w:hanging="284"/>
              <w:rPr>
                <w:rFonts w:cs="Helvetica"/>
                <w:bCs/>
                <w:szCs w:val="29"/>
              </w:rPr>
            </w:pPr>
            <w:r>
              <w:rPr>
                <w:rFonts w:cs="Helvetica"/>
                <w:bCs/>
                <w:szCs w:val="29"/>
              </w:rPr>
              <w:t>Board members to engage with their frontline staff on areas of difficulty in practice</w:t>
            </w:r>
            <w:r w:rsidR="008565B0">
              <w:rPr>
                <w:rFonts w:cs="Helvetica"/>
                <w:bCs/>
                <w:szCs w:val="29"/>
              </w:rPr>
              <w:t xml:space="preserve"> particularly as arising from SARs and complex case reviews</w:t>
            </w:r>
          </w:p>
        </w:tc>
        <w:tc>
          <w:tcPr>
            <w:tcW w:w="734" w:type="pct"/>
            <w:tcBorders>
              <w:bottom w:val="single" w:sz="4" w:space="0" w:color="auto"/>
            </w:tcBorders>
          </w:tcPr>
          <w:p w:rsidR="0019735E" w:rsidRDefault="008565B0" w:rsidP="00DD75CA">
            <w:pPr>
              <w:spacing w:after="0" w:line="240" w:lineRule="auto"/>
            </w:pPr>
            <w:r>
              <w:t xml:space="preserve">Board Manager, </w:t>
            </w:r>
            <w:r w:rsidR="007710B1">
              <w:t>SAR s/g</w:t>
            </w:r>
            <w:r w:rsidR="006B75F2">
              <w:t>, informed by partner agencies (with tasks delegated to QA or TLI as appropriate)</w:t>
            </w:r>
          </w:p>
          <w:p w:rsidR="0019735E" w:rsidRDefault="0019735E" w:rsidP="00DD75CA">
            <w:pPr>
              <w:spacing w:after="0" w:line="240" w:lineRule="auto"/>
            </w:pPr>
          </w:p>
          <w:p w:rsidR="003646D1" w:rsidRDefault="0019735E" w:rsidP="00DD75CA">
            <w:pPr>
              <w:spacing w:after="0" w:line="240" w:lineRule="auto"/>
            </w:pPr>
            <w:r>
              <w:t>Board members</w:t>
            </w:r>
          </w:p>
        </w:tc>
        <w:tc>
          <w:tcPr>
            <w:tcW w:w="491" w:type="pct"/>
            <w:tcBorders>
              <w:bottom w:val="single" w:sz="4" w:space="0" w:color="auto"/>
            </w:tcBorders>
          </w:tcPr>
          <w:p w:rsidR="008565B0" w:rsidRDefault="008565B0" w:rsidP="00DD75CA">
            <w:pPr>
              <w:spacing w:after="0" w:line="240" w:lineRule="auto"/>
            </w:pPr>
          </w:p>
          <w:p w:rsidR="008565B0" w:rsidRDefault="008565B0" w:rsidP="00DD75CA">
            <w:pPr>
              <w:spacing w:after="0" w:line="240" w:lineRule="auto"/>
            </w:pPr>
          </w:p>
          <w:p w:rsidR="008565B0" w:rsidRDefault="008565B0" w:rsidP="00DD75CA">
            <w:pPr>
              <w:spacing w:after="0" w:line="240" w:lineRule="auto"/>
            </w:pPr>
          </w:p>
          <w:p w:rsidR="008565B0" w:rsidRDefault="008565B0" w:rsidP="00DD75CA">
            <w:pPr>
              <w:spacing w:after="0" w:line="240" w:lineRule="auto"/>
            </w:pPr>
          </w:p>
          <w:p w:rsidR="008565B0" w:rsidRDefault="008565B0" w:rsidP="00DD75CA">
            <w:pPr>
              <w:spacing w:after="0" w:line="240" w:lineRule="auto"/>
            </w:pPr>
          </w:p>
          <w:p w:rsidR="008565B0" w:rsidRDefault="008565B0" w:rsidP="00DD75CA">
            <w:pPr>
              <w:spacing w:after="0" w:line="240" w:lineRule="auto"/>
            </w:pPr>
          </w:p>
          <w:p w:rsidR="008565B0" w:rsidRDefault="008565B0" w:rsidP="00DD75CA">
            <w:pPr>
              <w:spacing w:after="0" w:line="240" w:lineRule="auto"/>
            </w:pPr>
          </w:p>
          <w:p w:rsidR="003646D1" w:rsidRPr="00726DB4" w:rsidRDefault="008565B0" w:rsidP="00DD75CA">
            <w:pPr>
              <w:spacing w:after="0" w:line="240" w:lineRule="auto"/>
            </w:pPr>
            <w:r>
              <w:t xml:space="preserve">Survey </w:t>
            </w:r>
            <w:r w:rsidR="00F42215">
              <w:t>of involvement at year end</w:t>
            </w:r>
          </w:p>
        </w:tc>
        <w:tc>
          <w:tcPr>
            <w:tcW w:w="171" w:type="pct"/>
            <w:gridSpan w:val="2"/>
            <w:tcBorders>
              <w:bottom w:val="single" w:sz="4" w:space="0" w:color="auto"/>
            </w:tcBorders>
            <w:shd w:val="clear" w:color="auto" w:fill="FABF8F" w:themeFill="accent6" w:themeFillTint="99"/>
            <w:vAlign w:val="center"/>
          </w:tcPr>
          <w:p w:rsidR="003646D1" w:rsidRPr="00EE43D7" w:rsidRDefault="00214528" w:rsidP="00DD75CA">
            <w:pPr>
              <w:spacing w:after="0" w:line="240" w:lineRule="auto"/>
              <w:jc w:val="center"/>
              <w:rPr>
                <w:b/>
                <w:sz w:val="24"/>
                <w:szCs w:val="24"/>
              </w:rPr>
            </w:pPr>
            <w:r w:rsidRPr="009E4AF9">
              <w:rPr>
                <w:b/>
                <w:sz w:val="24"/>
                <w:szCs w:val="24"/>
              </w:rPr>
              <w:t>A</w:t>
            </w:r>
          </w:p>
        </w:tc>
        <w:tc>
          <w:tcPr>
            <w:tcW w:w="164" w:type="pct"/>
            <w:tcBorders>
              <w:bottom w:val="single" w:sz="4" w:space="0" w:color="auto"/>
            </w:tcBorders>
            <w:vAlign w:val="center"/>
          </w:tcPr>
          <w:p w:rsidR="003646D1" w:rsidRPr="002C66D3" w:rsidRDefault="003646D1" w:rsidP="002C66D3">
            <w:pPr>
              <w:spacing w:after="0" w:line="240" w:lineRule="auto"/>
              <w:jc w:val="center"/>
            </w:pPr>
          </w:p>
        </w:tc>
        <w:tc>
          <w:tcPr>
            <w:tcW w:w="925" w:type="pct"/>
            <w:vMerge/>
            <w:tcBorders>
              <w:bottom w:val="single" w:sz="4" w:space="0" w:color="auto"/>
            </w:tcBorders>
          </w:tcPr>
          <w:p w:rsidR="003646D1" w:rsidRDefault="003646D1" w:rsidP="00DD75CA">
            <w:pPr>
              <w:spacing w:after="0" w:line="240" w:lineRule="auto"/>
              <w:rPr>
                <w:i/>
              </w:rPr>
            </w:pPr>
          </w:p>
        </w:tc>
      </w:tr>
      <w:tr w:rsidR="00BE6646" w:rsidRPr="00501685" w:rsidTr="00BE6646">
        <w:trPr>
          <w:trHeight w:val="972"/>
          <w:jc w:val="center"/>
        </w:trPr>
        <w:tc>
          <w:tcPr>
            <w:tcW w:w="166" w:type="pct"/>
            <w:vMerge w:val="restart"/>
          </w:tcPr>
          <w:p w:rsidR="00BE6646" w:rsidRDefault="00BE6646" w:rsidP="00DD75CA">
            <w:pPr>
              <w:spacing w:after="0" w:line="240" w:lineRule="auto"/>
              <w:contextualSpacing/>
              <w:rPr>
                <w:b/>
              </w:rPr>
            </w:pPr>
            <w:r>
              <w:rPr>
                <w:b/>
              </w:rPr>
              <w:t>2.3</w:t>
            </w:r>
          </w:p>
        </w:tc>
        <w:tc>
          <w:tcPr>
            <w:tcW w:w="901" w:type="pct"/>
            <w:vMerge w:val="restart"/>
          </w:tcPr>
          <w:p w:rsidR="00BE6646" w:rsidRDefault="00BE6646" w:rsidP="00DD75CA">
            <w:pPr>
              <w:widowControl w:val="0"/>
              <w:autoSpaceDE w:val="0"/>
              <w:autoSpaceDN w:val="0"/>
              <w:adjustRightInd w:val="0"/>
              <w:rPr>
                <w:rFonts w:cs="Helvetica"/>
                <w:bCs/>
                <w:szCs w:val="29"/>
              </w:rPr>
            </w:pPr>
            <w:r>
              <w:rPr>
                <w:rFonts w:cs="Helvetica"/>
                <w:bCs/>
                <w:szCs w:val="29"/>
              </w:rPr>
              <w:t xml:space="preserve">The board is assured that the voluntary sector in Nottingham has access to </w:t>
            </w:r>
            <w:r>
              <w:rPr>
                <w:rFonts w:cs="Helvetica"/>
                <w:bCs/>
                <w:szCs w:val="29"/>
              </w:rPr>
              <w:lastRenderedPageBreak/>
              <w:t>safeguarding information and training</w:t>
            </w:r>
          </w:p>
        </w:tc>
        <w:tc>
          <w:tcPr>
            <w:tcW w:w="1447" w:type="pct"/>
            <w:vMerge w:val="restart"/>
          </w:tcPr>
          <w:p w:rsidR="00BE6646" w:rsidRPr="00E70C18" w:rsidRDefault="00BE6646" w:rsidP="00E7624F">
            <w:pPr>
              <w:pStyle w:val="ListParagraph"/>
              <w:widowControl w:val="0"/>
              <w:numPr>
                <w:ilvl w:val="0"/>
                <w:numId w:val="6"/>
              </w:numPr>
              <w:autoSpaceDE w:val="0"/>
              <w:autoSpaceDN w:val="0"/>
              <w:adjustRightInd w:val="0"/>
              <w:spacing w:after="160" w:line="259" w:lineRule="auto"/>
              <w:ind w:left="265" w:hanging="284"/>
              <w:rPr>
                <w:rFonts w:cs="Helvetica"/>
                <w:bCs/>
                <w:szCs w:val="29"/>
              </w:rPr>
            </w:pPr>
            <w:r>
              <w:rPr>
                <w:rFonts w:cs="Helvetica"/>
                <w:bCs/>
                <w:szCs w:val="29"/>
              </w:rPr>
              <w:lastRenderedPageBreak/>
              <w:t>Work with NCVS to ensure on-going link between 3</w:t>
            </w:r>
            <w:r w:rsidRPr="004C5D9C">
              <w:rPr>
                <w:rFonts w:cs="Helvetica"/>
                <w:bCs/>
                <w:szCs w:val="29"/>
                <w:vertAlign w:val="superscript"/>
              </w:rPr>
              <w:t>rd</w:t>
            </w:r>
            <w:r>
              <w:rPr>
                <w:rFonts w:cs="Helvetica"/>
                <w:bCs/>
                <w:szCs w:val="29"/>
              </w:rPr>
              <w:t xml:space="preserve"> sector &amp; NCSAB,</w:t>
            </w:r>
          </w:p>
          <w:p w:rsidR="00BE6646" w:rsidRDefault="00BE6646" w:rsidP="00E7624F">
            <w:pPr>
              <w:pStyle w:val="ListParagraph"/>
              <w:widowControl w:val="0"/>
              <w:numPr>
                <w:ilvl w:val="0"/>
                <w:numId w:val="6"/>
              </w:numPr>
              <w:autoSpaceDE w:val="0"/>
              <w:autoSpaceDN w:val="0"/>
              <w:adjustRightInd w:val="0"/>
              <w:spacing w:after="160" w:line="259" w:lineRule="auto"/>
              <w:ind w:left="265" w:hanging="284"/>
              <w:rPr>
                <w:rFonts w:cs="Helvetica"/>
                <w:bCs/>
                <w:szCs w:val="29"/>
              </w:rPr>
            </w:pPr>
            <w:r>
              <w:rPr>
                <w:rFonts w:cs="Helvetica"/>
                <w:bCs/>
                <w:szCs w:val="29"/>
              </w:rPr>
              <w:t xml:space="preserve">Identify and/or develop free training </w:t>
            </w:r>
            <w:r>
              <w:rPr>
                <w:rFonts w:cs="Helvetica"/>
                <w:bCs/>
                <w:szCs w:val="29"/>
              </w:rPr>
              <w:lastRenderedPageBreak/>
              <w:t>resources and other relevant information which can be made available via the NCSAB website and other appropriate methods</w:t>
            </w:r>
          </w:p>
        </w:tc>
        <w:tc>
          <w:tcPr>
            <w:tcW w:w="734" w:type="pct"/>
            <w:vMerge w:val="restart"/>
          </w:tcPr>
          <w:p w:rsidR="00BE6646" w:rsidRDefault="00BE6646" w:rsidP="00DD75CA">
            <w:pPr>
              <w:spacing w:after="0" w:line="240" w:lineRule="auto"/>
            </w:pPr>
            <w:r>
              <w:lastRenderedPageBreak/>
              <w:t>BMG</w:t>
            </w:r>
          </w:p>
          <w:p w:rsidR="00BE6646" w:rsidRDefault="00BE6646" w:rsidP="00DD75CA">
            <w:pPr>
              <w:spacing w:after="0" w:line="240" w:lineRule="auto"/>
            </w:pPr>
          </w:p>
          <w:p w:rsidR="00BE6646" w:rsidRDefault="00BE6646" w:rsidP="00DD75CA">
            <w:pPr>
              <w:spacing w:after="0" w:line="240" w:lineRule="auto"/>
            </w:pPr>
            <w:r>
              <w:lastRenderedPageBreak/>
              <w:t>TLI and Board Manager</w:t>
            </w:r>
          </w:p>
        </w:tc>
        <w:tc>
          <w:tcPr>
            <w:tcW w:w="491" w:type="pct"/>
            <w:vMerge w:val="restart"/>
          </w:tcPr>
          <w:p w:rsidR="00BE6646" w:rsidRDefault="00BE6646" w:rsidP="00DD75CA">
            <w:pPr>
              <w:spacing w:after="0" w:line="240" w:lineRule="auto"/>
            </w:pPr>
          </w:p>
        </w:tc>
        <w:tc>
          <w:tcPr>
            <w:tcW w:w="171" w:type="pct"/>
            <w:gridSpan w:val="2"/>
            <w:shd w:val="clear" w:color="auto" w:fill="C2D69B" w:themeFill="accent3" w:themeFillTint="99"/>
            <w:vAlign w:val="center"/>
          </w:tcPr>
          <w:p w:rsidR="00BE6646" w:rsidRDefault="00BE6646" w:rsidP="00B00972">
            <w:pPr>
              <w:spacing w:after="0" w:line="240" w:lineRule="auto"/>
              <w:rPr>
                <w:b/>
                <w:sz w:val="24"/>
                <w:szCs w:val="24"/>
              </w:rPr>
            </w:pPr>
            <w:r w:rsidRPr="009E4AF9">
              <w:rPr>
                <w:b/>
                <w:sz w:val="24"/>
                <w:szCs w:val="24"/>
              </w:rPr>
              <w:t>G</w:t>
            </w:r>
          </w:p>
          <w:p w:rsidR="00BE6646" w:rsidRPr="00EE43D7" w:rsidRDefault="00BE6646" w:rsidP="00B00972">
            <w:pPr>
              <w:spacing w:after="0" w:line="240" w:lineRule="auto"/>
              <w:rPr>
                <w:b/>
                <w:sz w:val="24"/>
                <w:szCs w:val="24"/>
              </w:rPr>
            </w:pPr>
          </w:p>
        </w:tc>
        <w:tc>
          <w:tcPr>
            <w:tcW w:w="164" w:type="pct"/>
            <w:vMerge w:val="restart"/>
            <w:vAlign w:val="center"/>
          </w:tcPr>
          <w:p w:rsidR="00BE6646" w:rsidRPr="002C66D3" w:rsidRDefault="00BE6646" w:rsidP="002C66D3">
            <w:pPr>
              <w:spacing w:after="0" w:line="240" w:lineRule="auto"/>
              <w:jc w:val="center"/>
            </w:pPr>
          </w:p>
        </w:tc>
        <w:tc>
          <w:tcPr>
            <w:tcW w:w="925" w:type="pct"/>
            <w:vMerge w:val="restart"/>
          </w:tcPr>
          <w:p w:rsidR="00BE6646" w:rsidRDefault="00BE6646" w:rsidP="00F21949">
            <w:pPr>
              <w:spacing w:after="0" w:line="240" w:lineRule="auto"/>
              <w:rPr>
                <w:i/>
              </w:rPr>
            </w:pPr>
            <w:r w:rsidRPr="00B00972">
              <w:rPr>
                <w:i/>
              </w:rPr>
              <w:t>Good liaison and participation with NCVS and VAPN</w:t>
            </w:r>
          </w:p>
          <w:p w:rsidR="00BE6646" w:rsidRDefault="00BE6646" w:rsidP="00F21949">
            <w:pPr>
              <w:spacing w:after="0" w:line="240" w:lineRule="auto"/>
              <w:rPr>
                <w:i/>
              </w:rPr>
            </w:pPr>
            <w:r>
              <w:rPr>
                <w:i/>
              </w:rPr>
              <w:lastRenderedPageBreak/>
              <w:t>b) Gaps in meetings of TLI subgroup and absence of a Board Manager has meant this work has not happened</w:t>
            </w:r>
          </w:p>
          <w:p w:rsidR="00BE6646" w:rsidRPr="00B00972" w:rsidRDefault="00BE6646" w:rsidP="00F21949">
            <w:pPr>
              <w:spacing w:after="0" w:line="240" w:lineRule="auto"/>
              <w:rPr>
                <w:i/>
              </w:rPr>
            </w:pPr>
          </w:p>
        </w:tc>
      </w:tr>
      <w:tr w:rsidR="00BE6646" w:rsidRPr="00501685" w:rsidTr="00BE6646">
        <w:trPr>
          <w:trHeight w:val="971"/>
          <w:jc w:val="center"/>
        </w:trPr>
        <w:tc>
          <w:tcPr>
            <w:tcW w:w="166" w:type="pct"/>
            <w:vMerge/>
          </w:tcPr>
          <w:p w:rsidR="00BE6646" w:rsidRDefault="00BE6646" w:rsidP="00DD75CA">
            <w:pPr>
              <w:spacing w:after="0" w:line="240" w:lineRule="auto"/>
              <w:contextualSpacing/>
              <w:rPr>
                <w:b/>
              </w:rPr>
            </w:pPr>
          </w:p>
        </w:tc>
        <w:tc>
          <w:tcPr>
            <w:tcW w:w="901" w:type="pct"/>
            <w:vMerge/>
          </w:tcPr>
          <w:p w:rsidR="00BE6646" w:rsidRDefault="00BE6646" w:rsidP="00DD75CA">
            <w:pPr>
              <w:widowControl w:val="0"/>
              <w:autoSpaceDE w:val="0"/>
              <w:autoSpaceDN w:val="0"/>
              <w:adjustRightInd w:val="0"/>
              <w:rPr>
                <w:rFonts w:cs="Helvetica"/>
                <w:bCs/>
                <w:szCs w:val="29"/>
              </w:rPr>
            </w:pPr>
          </w:p>
        </w:tc>
        <w:tc>
          <w:tcPr>
            <w:tcW w:w="1447" w:type="pct"/>
            <w:vMerge/>
          </w:tcPr>
          <w:p w:rsidR="00BE6646" w:rsidRDefault="00BE6646" w:rsidP="00E7624F">
            <w:pPr>
              <w:pStyle w:val="ListParagraph"/>
              <w:widowControl w:val="0"/>
              <w:numPr>
                <w:ilvl w:val="0"/>
                <w:numId w:val="6"/>
              </w:numPr>
              <w:autoSpaceDE w:val="0"/>
              <w:autoSpaceDN w:val="0"/>
              <w:adjustRightInd w:val="0"/>
              <w:spacing w:after="160" w:line="259" w:lineRule="auto"/>
              <w:ind w:left="265" w:hanging="284"/>
              <w:rPr>
                <w:rFonts w:cs="Helvetica"/>
                <w:bCs/>
                <w:szCs w:val="29"/>
              </w:rPr>
            </w:pPr>
          </w:p>
        </w:tc>
        <w:tc>
          <w:tcPr>
            <w:tcW w:w="734" w:type="pct"/>
            <w:vMerge/>
          </w:tcPr>
          <w:p w:rsidR="00BE6646" w:rsidRDefault="00BE6646" w:rsidP="00DD75CA">
            <w:pPr>
              <w:spacing w:after="0" w:line="240" w:lineRule="auto"/>
            </w:pPr>
          </w:p>
        </w:tc>
        <w:tc>
          <w:tcPr>
            <w:tcW w:w="491" w:type="pct"/>
            <w:vMerge/>
          </w:tcPr>
          <w:p w:rsidR="00BE6646" w:rsidRDefault="00BE6646" w:rsidP="00DD75CA">
            <w:pPr>
              <w:spacing w:after="0" w:line="240" w:lineRule="auto"/>
            </w:pPr>
          </w:p>
        </w:tc>
        <w:tc>
          <w:tcPr>
            <w:tcW w:w="171" w:type="pct"/>
            <w:gridSpan w:val="2"/>
            <w:shd w:val="clear" w:color="auto" w:fill="FF0000"/>
            <w:vAlign w:val="center"/>
          </w:tcPr>
          <w:p w:rsidR="00BE6646" w:rsidRPr="009E4AF9" w:rsidRDefault="00BE6646" w:rsidP="00B00972">
            <w:pPr>
              <w:spacing w:after="0" w:line="240" w:lineRule="auto"/>
              <w:rPr>
                <w:b/>
                <w:sz w:val="24"/>
                <w:szCs w:val="24"/>
              </w:rPr>
            </w:pPr>
            <w:r w:rsidRPr="009E4AF9">
              <w:rPr>
                <w:b/>
                <w:sz w:val="24"/>
                <w:szCs w:val="24"/>
              </w:rPr>
              <w:t>R</w:t>
            </w:r>
          </w:p>
        </w:tc>
        <w:tc>
          <w:tcPr>
            <w:tcW w:w="164" w:type="pct"/>
            <w:vMerge/>
            <w:vAlign w:val="center"/>
          </w:tcPr>
          <w:p w:rsidR="00BE6646" w:rsidRPr="002C66D3" w:rsidRDefault="00BE6646" w:rsidP="002C66D3">
            <w:pPr>
              <w:spacing w:after="0" w:line="240" w:lineRule="auto"/>
              <w:jc w:val="center"/>
            </w:pPr>
          </w:p>
        </w:tc>
        <w:tc>
          <w:tcPr>
            <w:tcW w:w="925" w:type="pct"/>
            <w:vMerge/>
          </w:tcPr>
          <w:p w:rsidR="00BE6646" w:rsidRPr="00B00972" w:rsidRDefault="00BE6646" w:rsidP="00F21949">
            <w:pPr>
              <w:spacing w:after="0" w:line="240" w:lineRule="auto"/>
              <w:rPr>
                <w:i/>
              </w:rPr>
            </w:pPr>
          </w:p>
        </w:tc>
      </w:tr>
      <w:tr w:rsidR="002E78D7" w:rsidRPr="00501685" w:rsidTr="00BE6646">
        <w:trPr>
          <w:trHeight w:val="2689"/>
          <w:jc w:val="center"/>
        </w:trPr>
        <w:tc>
          <w:tcPr>
            <w:tcW w:w="166" w:type="pct"/>
          </w:tcPr>
          <w:p w:rsidR="00E70C18" w:rsidRDefault="00E70C18" w:rsidP="00DD75CA">
            <w:pPr>
              <w:spacing w:after="0" w:line="240" w:lineRule="auto"/>
              <w:contextualSpacing/>
              <w:rPr>
                <w:b/>
              </w:rPr>
            </w:pPr>
            <w:r>
              <w:rPr>
                <w:b/>
              </w:rPr>
              <w:t>2.4</w:t>
            </w:r>
          </w:p>
        </w:tc>
        <w:tc>
          <w:tcPr>
            <w:tcW w:w="901" w:type="pct"/>
          </w:tcPr>
          <w:p w:rsidR="00E70C18" w:rsidRDefault="00E70C18" w:rsidP="00735E62">
            <w:pPr>
              <w:widowControl w:val="0"/>
              <w:autoSpaceDE w:val="0"/>
              <w:autoSpaceDN w:val="0"/>
              <w:adjustRightInd w:val="0"/>
              <w:rPr>
                <w:rFonts w:cs="Helvetica"/>
                <w:bCs/>
                <w:szCs w:val="29"/>
              </w:rPr>
            </w:pPr>
            <w:r>
              <w:rPr>
                <w:rFonts w:cs="Helvetica"/>
                <w:bCs/>
                <w:szCs w:val="29"/>
              </w:rPr>
              <w:t>The Board is assured about the quality of safeguarding practice (as part of its QAF), and areas for improvement a</w:t>
            </w:r>
            <w:r w:rsidR="00735E62">
              <w:rPr>
                <w:rFonts w:cs="Helvetica"/>
                <w:bCs/>
                <w:szCs w:val="29"/>
              </w:rPr>
              <w:t>re</w:t>
            </w:r>
            <w:r>
              <w:rPr>
                <w:rFonts w:cs="Helvetica"/>
                <w:bCs/>
                <w:szCs w:val="29"/>
              </w:rPr>
              <w:t xml:space="preserve"> identified and acted upon</w:t>
            </w:r>
          </w:p>
        </w:tc>
        <w:tc>
          <w:tcPr>
            <w:tcW w:w="1447" w:type="pct"/>
          </w:tcPr>
          <w:p w:rsidR="004B3569" w:rsidRDefault="004B3569" w:rsidP="004B3569">
            <w:pPr>
              <w:pStyle w:val="ListParagraph"/>
              <w:widowControl w:val="0"/>
              <w:numPr>
                <w:ilvl w:val="0"/>
                <w:numId w:val="43"/>
              </w:numPr>
              <w:autoSpaceDE w:val="0"/>
              <w:autoSpaceDN w:val="0"/>
              <w:adjustRightInd w:val="0"/>
              <w:spacing w:after="160" w:line="259" w:lineRule="auto"/>
              <w:rPr>
                <w:rFonts w:cs="Helvetica"/>
                <w:bCs/>
                <w:szCs w:val="29"/>
              </w:rPr>
            </w:pPr>
            <w:r w:rsidRPr="004B3569">
              <w:rPr>
                <w:rFonts w:cs="Helvetica"/>
                <w:bCs/>
                <w:szCs w:val="29"/>
              </w:rPr>
              <w:t>Seek assurance on implementation</w:t>
            </w:r>
            <w:r>
              <w:rPr>
                <w:rFonts w:cs="Helvetica"/>
                <w:bCs/>
                <w:szCs w:val="29"/>
              </w:rPr>
              <w:t xml:space="preserve"> </w:t>
            </w:r>
            <w:r w:rsidRPr="004B3569">
              <w:rPr>
                <w:rFonts w:cs="Helvetica"/>
                <w:bCs/>
                <w:szCs w:val="29"/>
              </w:rPr>
              <w:t xml:space="preserve">of change for any areas of concern arising from the self assessment process </w:t>
            </w:r>
          </w:p>
          <w:p w:rsidR="003D33D1" w:rsidRPr="0099318A" w:rsidRDefault="004B3569" w:rsidP="003D33D1">
            <w:pPr>
              <w:pStyle w:val="ListParagraph"/>
              <w:widowControl w:val="0"/>
              <w:numPr>
                <w:ilvl w:val="0"/>
                <w:numId w:val="43"/>
              </w:numPr>
              <w:autoSpaceDE w:val="0"/>
              <w:autoSpaceDN w:val="0"/>
              <w:adjustRightInd w:val="0"/>
              <w:spacing w:after="160" w:line="259" w:lineRule="auto"/>
              <w:rPr>
                <w:rFonts w:cs="Helvetica"/>
                <w:bCs/>
                <w:szCs w:val="29"/>
              </w:rPr>
            </w:pPr>
            <w:r>
              <w:rPr>
                <w:rFonts w:cs="Helvetica"/>
                <w:bCs/>
                <w:szCs w:val="29"/>
              </w:rPr>
              <w:t>I</w:t>
            </w:r>
            <w:r w:rsidR="006B75F2" w:rsidRPr="004B3569">
              <w:rPr>
                <w:rFonts w:cs="Helvetica"/>
                <w:bCs/>
                <w:szCs w:val="29"/>
              </w:rPr>
              <w:t xml:space="preserve">n the light of the </w:t>
            </w:r>
            <w:r w:rsidR="00E70C18" w:rsidRPr="004B3569">
              <w:rPr>
                <w:rFonts w:cs="Helvetica"/>
                <w:bCs/>
                <w:szCs w:val="29"/>
              </w:rPr>
              <w:t>complex case review</w:t>
            </w:r>
            <w:r w:rsidR="006B75F2" w:rsidRPr="004B3569">
              <w:rPr>
                <w:rFonts w:cs="Helvetica"/>
                <w:bCs/>
                <w:szCs w:val="29"/>
              </w:rPr>
              <w:t xml:space="preserve"> process</w:t>
            </w:r>
            <w:r w:rsidR="00E70C18" w:rsidRPr="004B3569">
              <w:rPr>
                <w:rFonts w:cs="Helvetica"/>
                <w:bCs/>
                <w:szCs w:val="29"/>
              </w:rPr>
              <w:t xml:space="preserve">, and </w:t>
            </w:r>
            <w:r w:rsidR="006B75F2" w:rsidRPr="004B3569">
              <w:rPr>
                <w:rFonts w:cs="Helvetica"/>
                <w:bCs/>
                <w:szCs w:val="29"/>
              </w:rPr>
              <w:t xml:space="preserve">regional best practice guidance, consider the development of </w:t>
            </w:r>
            <w:r w:rsidR="00E70C18" w:rsidRPr="004B3569">
              <w:rPr>
                <w:rFonts w:cs="Helvetica"/>
                <w:bCs/>
                <w:szCs w:val="29"/>
              </w:rPr>
              <w:t>a process for multi-agency casefile audit</w:t>
            </w:r>
          </w:p>
        </w:tc>
        <w:tc>
          <w:tcPr>
            <w:tcW w:w="734" w:type="pct"/>
          </w:tcPr>
          <w:p w:rsidR="00F42215" w:rsidRDefault="00E70C18" w:rsidP="00DD75CA">
            <w:pPr>
              <w:spacing w:after="0" w:line="240" w:lineRule="auto"/>
            </w:pPr>
            <w:r>
              <w:t>QA</w:t>
            </w:r>
          </w:p>
          <w:p w:rsidR="00F42215" w:rsidRDefault="00F42215" w:rsidP="00DD75CA">
            <w:pPr>
              <w:spacing w:after="0" w:line="240" w:lineRule="auto"/>
            </w:pPr>
          </w:p>
          <w:p w:rsidR="00F42215" w:rsidRDefault="00F42215" w:rsidP="00DD75CA">
            <w:pPr>
              <w:spacing w:after="0" w:line="240" w:lineRule="auto"/>
            </w:pPr>
          </w:p>
          <w:p w:rsidR="00F42215" w:rsidRDefault="00F42215" w:rsidP="00DD75CA">
            <w:pPr>
              <w:spacing w:after="0" w:line="240" w:lineRule="auto"/>
            </w:pPr>
          </w:p>
          <w:p w:rsidR="00F42215" w:rsidRDefault="00F42215" w:rsidP="00DD75CA">
            <w:pPr>
              <w:spacing w:after="0" w:line="240" w:lineRule="auto"/>
            </w:pPr>
          </w:p>
          <w:p w:rsidR="00E70C18" w:rsidRDefault="00F42215" w:rsidP="00DD75CA">
            <w:pPr>
              <w:spacing w:after="0" w:line="240" w:lineRule="auto"/>
            </w:pPr>
            <w:r>
              <w:t>QA subgroup to review potential once complex case process in place</w:t>
            </w:r>
          </w:p>
        </w:tc>
        <w:tc>
          <w:tcPr>
            <w:tcW w:w="491" w:type="pct"/>
          </w:tcPr>
          <w:p w:rsidR="00E70C18" w:rsidRDefault="00E70C18" w:rsidP="00DD75CA">
            <w:pPr>
              <w:spacing w:after="0" w:line="240" w:lineRule="auto"/>
            </w:pPr>
          </w:p>
        </w:tc>
        <w:tc>
          <w:tcPr>
            <w:tcW w:w="171" w:type="pct"/>
            <w:gridSpan w:val="2"/>
            <w:shd w:val="clear" w:color="auto" w:fill="FABF8F" w:themeFill="accent6" w:themeFillTint="99"/>
            <w:vAlign w:val="center"/>
          </w:tcPr>
          <w:p w:rsidR="00E70C18" w:rsidRPr="00EE43D7" w:rsidRDefault="00214528" w:rsidP="00DD75CA">
            <w:pPr>
              <w:spacing w:after="0" w:line="240" w:lineRule="auto"/>
              <w:jc w:val="center"/>
              <w:rPr>
                <w:b/>
                <w:sz w:val="24"/>
                <w:szCs w:val="24"/>
              </w:rPr>
            </w:pPr>
            <w:r w:rsidRPr="009E4AF9">
              <w:rPr>
                <w:b/>
                <w:sz w:val="24"/>
                <w:szCs w:val="24"/>
              </w:rPr>
              <w:t>R</w:t>
            </w:r>
          </w:p>
        </w:tc>
        <w:tc>
          <w:tcPr>
            <w:tcW w:w="164" w:type="pct"/>
            <w:vAlign w:val="center"/>
          </w:tcPr>
          <w:p w:rsidR="00E70C18" w:rsidRPr="002C66D3" w:rsidRDefault="00E70C18" w:rsidP="002C66D3">
            <w:pPr>
              <w:spacing w:after="0" w:line="240" w:lineRule="auto"/>
              <w:jc w:val="center"/>
            </w:pPr>
          </w:p>
        </w:tc>
        <w:tc>
          <w:tcPr>
            <w:tcW w:w="925" w:type="pct"/>
          </w:tcPr>
          <w:p w:rsidR="00085E45" w:rsidRDefault="00085E45" w:rsidP="00F21949">
            <w:pPr>
              <w:spacing w:after="0" w:line="240" w:lineRule="auto"/>
              <w:rPr>
                <w:i/>
              </w:rPr>
            </w:pPr>
            <w:r w:rsidRPr="00085E45">
              <w:rPr>
                <w:i/>
              </w:rPr>
              <w:t>Delays in being able to reach decisions on replacing the SAAF have meant this has not been done</w:t>
            </w:r>
          </w:p>
          <w:p w:rsidR="00E70C18" w:rsidRPr="00085E45" w:rsidRDefault="009E4AF9" w:rsidP="00085E45">
            <w:pPr>
              <w:spacing w:after="0" w:line="240" w:lineRule="auto"/>
              <w:rPr>
                <w:i/>
              </w:rPr>
            </w:pPr>
            <w:r>
              <w:rPr>
                <w:i/>
              </w:rPr>
              <w:t xml:space="preserve">b) </w:t>
            </w:r>
            <w:r w:rsidR="00085E45">
              <w:rPr>
                <w:i/>
              </w:rPr>
              <w:t>BMG decision that with the complex case review process, other forms of QA, and capacity, this should not be progressed</w:t>
            </w:r>
          </w:p>
        </w:tc>
      </w:tr>
      <w:tr w:rsidR="002E78D7" w:rsidRPr="00501685" w:rsidTr="00BE6646">
        <w:trPr>
          <w:trHeight w:val="1657"/>
          <w:jc w:val="center"/>
        </w:trPr>
        <w:tc>
          <w:tcPr>
            <w:tcW w:w="166" w:type="pct"/>
          </w:tcPr>
          <w:p w:rsidR="00631428" w:rsidRDefault="00631428" w:rsidP="00DD75CA">
            <w:pPr>
              <w:spacing w:after="0" w:line="240" w:lineRule="auto"/>
              <w:contextualSpacing/>
              <w:rPr>
                <w:b/>
              </w:rPr>
            </w:pPr>
            <w:r>
              <w:rPr>
                <w:b/>
              </w:rPr>
              <w:t>2.5</w:t>
            </w:r>
          </w:p>
        </w:tc>
        <w:tc>
          <w:tcPr>
            <w:tcW w:w="901" w:type="pct"/>
          </w:tcPr>
          <w:p w:rsidR="00631428" w:rsidRDefault="004B3569" w:rsidP="00735E62">
            <w:pPr>
              <w:widowControl w:val="0"/>
              <w:autoSpaceDE w:val="0"/>
              <w:autoSpaceDN w:val="0"/>
              <w:adjustRightInd w:val="0"/>
              <w:rPr>
                <w:rFonts w:cs="Helvetica"/>
                <w:bCs/>
                <w:szCs w:val="29"/>
              </w:rPr>
            </w:pPr>
            <w:r>
              <w:rPr>
                <w:rFonts w:cs="Helvetica"/>
                <w:bCs/>
                <w:szCs w:val="29"/>
              </w:rPr>
              <w:t>The Board is assured that safeguarding risks resulting form organisational and service change are identified and mitigated</w:t>
            </w:r>
          </w:p>
        </w:tc>
        <w:tc>
          <w:tcPr>
            <w:tcW w:w="1447" w:type="pct"/>
          </w:tcPr>
          <w:p w:rsidR="00631428" w:rsidRPr="006B75F2" w:rsidRDefault="005473F5" w:rsidP="00C359FE">
            <w:pPr>
              <w:pStyle w:val="ListParagraph"/>
              <w:widowControl w:val="0"/>
              <w:numPr>
                <w:ilvl w:val="0"/>
                <w:numId w:val="38"/>
              </w:numPr>
              <w:autoSpaceDE w:val="0"/>
              <w:autoSpaceDN w:val="0"/>
              <w:adjustRightInd w:val="0"/>
              <w:spacing w:after="160" w:line="259" w:lineRule="auto"/>
              <w:rPr>
                <w:rFonts w:cs="Helvetica"/>
                <w:bCs/>
                <w:szCs w:val="29"/>
              </w:rPr>
            </w:pPr>
            <w:r>
              <w:rPr>
                <w:rFonts w:cs="Helvetica"/>
                <w:bCs/>
                <w:szCs w:val="29"/>
              </w:rPr>
              <w:t>? With NSAB? P</w:t>
            </w:r>
            <w:r w:rsidR="004B3569">
              <w:rPr>
                <w:rFonts w:cs="Helvetica"/>
                <w:bCs/>
                <w:szCs w:val="29"/>
              </w:rPr>
              <w:t>artner organisations and relevant partnerships are invited to add safeguarding risks to their quality and equality impact assessments</w:t>
            </w:r>
          </w:p>
        </w:tc>
        <w:tc>
          <w:tcPr>
            <w:tcW w:w="734" w:type="pct"/>
          </w:tcPr>
          <w:p w:rsidR="00631428" w:rsidRDefault="004B3569" w:rsidP="00DD75CA">
            <w:pPr>
              <w:spacing w:after="0" w:line="240" w:lineRule="auto"/>
            </w:pPr>
            <w:r>
              <w:t>BMG</w:t>
            </w:r>
          </w:p>
        </w:tc>
        <w:tc>
          <w:tcPr>
            <w:tcW w:w="491" w:type="pct"/>
          </w:tcPr>
          <w:p w:rsidR="00631428" w:rsidRDefault="00F42215" w:rsidP="00DD75CA">
            <w:pPr>
              <w:spacing w:after="0" w:line="240" w:lineRule="auto"/>
            </w:pPr>
            <w:r>
              <w:t xml:space="preserve">Proposal in report from </w:t>
            </w:r>
            <w:r w:rsidR="007E372B">
              <w:t xml:space="preserve">Independent </w:t>
            </w:r>
            <w:r>
              <w:t>Chair to June Board</w:t>
            </w:r>
          </w:p>
        </w:tc>
        <w:tc>
          <w:tcPr>
            <w:tcW w:w="171" w:type="pct"/>
            <w:gridSpan w:val="2"/>
            <w:shd w:val="clear" w:color="auto" w:fill="auto"/>
            <w:vAlign w:val="center"/>
          </w:tcPr>
          <w:p w:rsidR="00631428" w:rsidRPr="00EE43D7" w:rsidRDefault="009F2683" w:rsidP="00DD75CA">
            <w:pPr>
              <w:spacing w:after="0" w:line="240" w:lineRule="auto"/>
              <w:jc w:val="center"/>
              <w:rPr>
                <w:b/>
                <w:sz w:val="24"/>
                <w:szCs w:val="24"/>
              </w:rPr>
            </w:pPr>
            <w:r>
              <w:rPr>
                <w:b/>
                <w:sz w:val="24"/>
                <w:szCs w:val="24"/>
              </w:rPr>
              <w:t>C</w:t>
            </w:r>
          </w:p>
        </w:tc>
        <w:tc>
          <w:tcPr>
            <w:tcW w:w="164" w:type="pct"/>
            <w:vAlign w:val="center"/>
          </w:tcPr>
          <w:p w:rsidR="00631428" w:rsidRPr="002C66D3" w:rsidRDefault="00631428" w:rsidP="002C66D3">
            <w:pPr>
              <w:spacing w:after="0" w:line="240" w:lineRule="auto"/>
              <w:jc w:val="center"/>
            </w:pPr>
          </w:p>
        </w:tc>
        <w:tc>
          <w:tcPr>
            <w:tcW w:w="925" w:type="pct"/>
          </w:tcPr>
          <w:p w:rsidR="00631428" w:rsidRPr="00085E45" w:rsidRDefault="00085E45" w:rsidP="00F21949">
            <w:pPr>
              <w:spacing w:after="0" w:line="240" w:lineRule="auto"/>
              <w:rPr>
                <w:i/>
              </w:rPr>
            </w:pPr>
            <w:r w:rsidRPr="00085E45">
              <w:rPr>
                <w:i/>
              </w:rPr>
              <w:t>Await outcome of questionnaire and then Chair to liaise with NSAB</w:t>
            </w:r>
          </w:p>
        </w:tc>
      </w:tr>
      <w:tr w:rsidR="00FE4592" w:rsidRPr="00501685">
        <w:trPr>
          <w:jc w:val="center"/>
        </w:trPr>
        <w:tc>
          <w:tcPr>
            <w:tcW w:w="5000" w:type="pct"/>
            <w:gridSpan w:val="9"/>
            <w:shd w:val="clear" w:color="auto" w:fill="D9D9D9" w:themeFill="background1" w:themeFillShade="D9"/>
            <w:vAlign w:val="center"/>
          </w:tcPr>
          <w:p w:rsidR="00FE4592" w:rsidRPr="002C66D3" w:rsidRDefault="00FE4592" w:rsidP="002C66D3">
            <w:pPr>
              <w:keepNext/>
              <w:keepLines/>
              <w:spacing w:before="40" w:after="0" w:line="240" w:lineRule="auto"/>
              <w:jc w:val="center"/>
              <w:outlineLvl w:val="1"/>
              <w:rPr>
                <w:rFonts w:ascii="Calibri Light" w:hAnsi="Calibri Light"/>
                <w:b/>
                <w:sz w:val="28"/>
                <w:szCs w:val="28"/>
              </w:rPr>
            </w:pPr>
            <w:r w:rsidRPr="002C66D3">
              <w:lastRenderedPageBreak/>
              <w:br w:type="page"/>
            </w:r>
            <w:r w:rsidRPr="002C66D3">
              <w:rPr>
                <w:rFonts w:ascii="Calibri Light" w:hAnsi="Calibri Light"/>
                <w:b/>
                <w:sz w:val="28"/>
                <w:szCs w:val="28"/>
              </w:rPr>
              <w:t>Strategic Priority 3) Making Safeguarding Personal</w:t>
            </w:r>
          </w:p>
        </w:tc>
      </w:tr>
      <w:tr w:rsidR="002E78D7" w:rsidRPr="00501685" w:rsidTr="00BE6646">
        <w:tblPrEx>
          <w:tblLook w:val="0000" w:firstRow="0" w:lastRow="0" w:firstColumn="0" w:lastColumn="0" w:noHBand="0" w:noVBand="0"/>
        </w:tblPrEx>
        <w:trPr>
          <w:trHeight w:val="3676"/>
          <w:jc w:val="center"/>
        </w:trPr>
        <w:tc>
          <w:tcPr>
            <w:tcW w:w="166" w:type="pct"/>
          </w:tcPr>
          <w:p w:rsidR="003D33D1" w:rsidRPr="00501685" w:rsidRDefault="003D33D1" w:rsidP="00DD75CA">
            <w:pPr>
              <w:jc w:val="center"/>
              <w:rPr>
                <w:b/>
              </w:rPr>
            </w:pPr>
            <w:r>
              <w:rPr>
                <w:b/>
              </w:rPr>
              <w:t>3.1</w:t>
            </w:r>
          </w:p>
        </w:tc>
        <w:tc>
          <w:tcPr>
            <w:tcW w:w="901" w:type="pct"/>
          </w:tcPr>
          <w:p w:rsidR="003D33D1" w:rsidRPr="00501685" w:rsidRDefault="003D33D1" w:rsidP="00DD75CA">
            <w:r w:rsidRPr="00501685">
              <w:t xml:space="preserve">The Board </w:t>
            </w:r>
            <w:r w:rsidR="00EC3977">
              <w:t>is assured of strong m</w:t>
            </w:r>
            <w:r>
              <w:t>ulti-a</w:t>
            </w:r>
            <w:r w:rsidRPr="00501685">
              <w:t>gency commitment to MSP</w:t>
            </w:r>
            <w:r>
              <w:t xml:space="preserve"> across the partnership.  </w:t>
            </w:r>
          </w:p>
          <w:p w:rsidR="003D33D1" w:rsidRPr="00165D0C" w:rsidRDefault="003D33D1" w:rsidP="00165D0C">
            <w:r w:rsidRPr="00501685">
              <w:t>The principles of MSP are embedded in local safeguarding practic</w:t>
            </w:r>
            <w:r w:rsidR="00EC3977">
              <w:t>e and make safeguarding person-</w:t>
            </w:r>
            <w:r w:rsidRPr="00501685">
              <w:t>centred and outcome focussed.</w:t>
            </w:r>
          </w:p>
        </w:tc>
        <w:tc>
          <w:tcPr>
            <w:tcW w:w="1447" w:type="pct"/>
          </w:tcPr>
          <w:p w:rsidR="003D33D1" w:rsidRPr="004B442A" w:rsidRDefault="003D33D1" w:rsidP="00400B22">
            <w:pPr>
              <w:pStyle w:val="ListParagraph"/>
              <w:numPr>
                <w:ilvl w:val="0"/>
                <w:numId w:val="7"/>
              </w:numPr>
              <w:spacing w:after="160" w:line="259" w:lineRule="auto"/>
              <w:ind w:left="265" w:hanging="284"/>
            </w:pPr>
            <w:r w:rsidRPr="004B442A">
              <w:t xml:space="preserve">Review learning from national MSP guidance to identify priority actions for Nottingham </w:t>
            </w:r>
          </w:p>
          <w:p w:rsidR="003D33D1" w:rsidRDefault="00F42215" w:rsidP="00400B22">
            <w:pPr>
              <w:pStyle w:val="ListParagraph"/>
              <w:numPr>
                <w:ilvl w:val="0"/>
                <w:numId w:val="7"/>
              </w:numPr>
              <w:spacing w:after="160" w:line="259" w:lineRule="auto"/>
              <w:ind w:left="265" w:hanging="284"/>
            </w:pPr>
            <w:r>
              <w:t>E</w:t>
            </w:r>
            <w:r w:rsidR="003D33D1">
              <w:t>valuate the impact of introducing a mandatory outcomes question for all safeguarding referrals</w:t>
            </w:r>
          </w:p>
          <w:p w:rsidR="003D33D1" w:rsidRPr="00EC3977" w:rsidRDefault="003D33D1" w:rsidP="0019735E">
            <w:pPr>
              <w:pStyle w:val="ListParagraph"/>
              <w:numPr>
                <w:ilvl w:val="0"/>
                <w:numId w:val="7"/>
              </w:numPr>
              <w:spacing w:after="160" w:line="259" w:lineRule="auto"/>
              <w:ind w:left="265" w:hanging="284"/>
            </w:pPr>
            <w:r w:rsidRPr="00EC3977">
              <w:t>Identify actions arising from impact of b) above</w:t>
            </w:r>
          </w:p>
          <w:p w:rsidR="0019735E" w:rsidRDefault="003D33D1" w:rsidP="00A67ADD">
            <w:pPr>
              <w:pStyle w:val="ListParagraph"/>
              <w:numPr>
                <w:ilvl w:val="0"/>
                <w:numId w:val="7"/>
              </w:numPr>
              <w:spacing w:after="0" w:line="259" w:lineRule="auto"/>
              <w:ind w:left="267" w:hanging="284"/>
            </w:pPr>
            <w:r>
              <w:t>Regular reports on MSP implementation to be provided to the Business Management Group and exception reporting to the Board.</w:t>
            </w:r>
          </w:p>
          <w:p w:rsidR="003D33D1" w:rsidRPr="00501685" w:rsidRDefault="0019735E" w:rsidP="00A67ADD">
            <w:pPr>
              <w:pStyle w:val="ListParagraph"/>
              <w:numPr>
                <w:ilvl w:val="0"/>
                <w:numId w:val="7"/>
              </w:numPr>
              <w:spacing w:after="0" w:line="259" w:lineRule="auto"/>
              <w:ind w:left="267" w:hanging="284"/>
            </w:pPr>
            <w:r>
              <w:t>Present regular case studies to the Board</w:t>
            </w:r>
          </w:p>
        </w:tc>
        <w:tc>
          <w:tcPr>
            <w:tcW w:w="734" w:type="pct"/>
          </w:tcPr>
          <w:p w:rsidR="00F42215" w:rsidRDefault="00F42215" w:rsidP="00DD75CA">
            <w:r>
              <w:t xml:space="preserve">Board manager with </w:t>
            </w:r>
            <w:r w:rsidR="003D33D1">
              <w:t>QA Subgroup</w:t>
            </w:r>
          </w:p>
          <w:p w:rsidR="00F42215" w:rsidRDefault="00F42215" w:rsidP="00DD75CA">
            <w:r>
              <w:t>Board manager with QA Subgroup</w:t>
            </w:r>
          </w:p>
          <w:p w:rsidR="00F42215" w:rsidRDefault="00F42215" w:rsidP="00DD75CA"/>
          <w:p w:rsidR="00F42215" w:rsidRDefault="00F42215" w:rsidP="00DD75CA"/>
          <w:p w:rsidR="00F42215" w:rsidRDefault="00F42215" w:rsidP="00DD75CA"/>
          <w:p w:rsidR="003D33D1" w:rsidRPr="00501685" w:rsidRDefault="00F42215" w:rsidP="00DD75CA">
            <w:r>
              <w:t>SAR subgroup to identify suitable cases</w:t>
            </w:r>
          </w:p>
        </w:tc>
        <w:tc>
          <w:tcPr>
            <w:tcW w:w="491" w:type="pct"/>
          </w:tcPr>
          <w:p w:rsidR="003D33D1" w:rsidRPr="00C87462" w:rsidRDefault="003D33D1" w:rsidP="00DD75CA">
            <w:pPr>
              <w:jc w:val="center"/>
            </w:pPr>
          </w:p>
        </w:tc>
        <w:tc>
          <w:tcPr>
            <w:tcW w:w="171" w:type="pct"/>
            <w:gridSpan w:val="2"/>
            <w:shd w:val="clear" w:color="auto" w:fill="FABF8F" w:themeFill="accent6" w:themeFillTint="99"/>
            <w:vAlign w:val="center"/>
          </w:tcPr>
          <w:p w:rsidR="003D33D1" w:rsidRPr="002C66D3" w:rsidRDefault="00085E45" w:rsidP="003D33D1">
            <w:pPr>
              <w:pStyle w:val="Heading2"/>
              <w:jc w:val="left"/>
            </w:pPr>
            <w:r w:rsidRPr="009E4AF9">
              <w:t>A</w:t>
            </w:r>
          </w:p>
        </w:tc>
        <w:tc>
          <w:tcPr>
            <w:tcW w:w="164" w:type="pct"/>
            <w:vAlign w:val="center"/>
          </w:tcPr>
          <w:p w:rsidR="003D33D1" w:rsidRPr="002C66D3" w:rsidRDefault="003D33D1" w:rsidP="003D33D1">
            <w:pPr>
              <w:spacing w:after="0" w:line="240" w:lineRule="auto"/>
            </w:pPr>
          </w:p>
        </w:tc>
        <w:tc>
          <w:tcPr>
            <w:tcW w:w="925" w:type="pct"/>
          </w:tcPr>
          <w:p w:rsidR="003D33D1" w:rsidRPr="00085E45" w:rsidRDefault="00085E45" w:rsidP="00204A54">
            <w:pPr>
              <w:rPr>
                <w:i/>
                <w:szCs w:val="20"/>
              </w:rPr>
            </w:pPr>
            <w:r w:rsidRPr="00085E45">
              <w:rPr>
                <w:i/>
                <w:szCs w:val="20"/>
              </w:rPr>
              <w:t>Without Board Manager, (a) has not been undertaken; QA subgroup undertaking (b); BMG decided that (d) is too vague to be actionable and should be removed from the plan. (e) in place</w:t>
            </w:r>
          </w:p>
        </w:tc>
      </w:tr>
      <w:tr w:rsidR="002E78D7" w:rsidRPr="00501685" w:rsidTr="00BE6646">
        <w:tblPrEx>
          <w:tblLook w:val="0000" w:firstRow="0" w:lastRow="0" w:firstColumn="0" w:lastColumn="0" w:noHBand="0" w:noVBand="0"/>
        </w:tblPrEx>
        <w:trPr>
          <w:trHeight w:val="1861"/>
          <w:jc w:val="center"/>
        </w:trPr>
        <w:tc>
          <w:tcPr>
            <w:tcW w:w="166" w:type="pct"/>
          </w:tcPr>
          <w:p w:rsidR="003D33D1" w:rsidRDefault="003D33D1" w:rsidP="00DD75CA">
            <w:pPr>
              <w:jc w:val="center"/>
              <w:rPr>
                <w:b/>
              </w:rPr>
            </w:pPr>
            <w:r>
              <w:rPr>
                <w:b/>
              </w:rPr>
              <w:t>3.2</w:t>
            </w:r>
          </w:p>
        </w:tc>
        <w:tc>
          <w:tcPr>
            <w:tcW w:w="901" w:type="pct"/>
          </w:tcPr>
          <w:p w:rsidR="003D33D1" w:rsidRPr="003D33D1" w:rsidRDefault="004D7B8C" w:rsidP="00A67ADD">
            <w:pPr>
              <w:spacing w:after="0"/>
              <w:rPr>
                <w:i/>
                <w:color w:val="FF0000"/>
              </w:rPr>
            </w:pPr>
            <w:r>
              <w:t>The Board has</w:t>
            </w:r>
            <w:r w:rsidR="009F77F7">
              <w:t xml:space="preserve"> improved</w:t>
            </w:r>
            <w:r w:rsidR="003D33D1">
              <w:t xml:space="preserve"> means of engagement with adults at risk, including people who have experienced safeguarding services </w:t>
            </w:r>
          </w:p>
        </w:tc>
        <w:tc>
          <w:tcPr>
            <w:tcW w:w="1447" w:type="pct"/>
          </w:tcPr>
          <w:p w:rsidR="003D33D1" w:rsidRPr="003D33D1" w:rsidRDefault="003D33D1" w:rsidP="000842E4">
            <w:pPr>
              <w:pStyle w:val="ListParagraph"/>
              <w:numPr>
                <w:ilvl w:val="0"/>
                <w:numId w:val="30"/>
              </w:numPr>
              <w:spacing w:after="160" w:line="259" w:lineRule="auto"/>
            </w:pPr>
            <w:r>
              <w:t>Partner agencies are encouraged to identify ways in which their existing engagement activity can contribute to t</w:t>
            </w:r>
            <w:r w:rsidR="009F77F7">
              <w:t xml:space="preserve">he Board’s engagement strategy </w:t>
            </w:r>
            <w:r>
              <w:rPr>
                <w:i/>
                <w:color w:val="FF0000"/>
              </w:rPr>
              <w:t xml:space="preserve"> </w:t>
            </w:r>
          </w:p>
          <w:p w:rsidR="003D33D1" w:rsidRDefault="003D33D1" w:rsidP="00420E3E">
            <w:pPr>
              <w:pStyle w:val="ListParagraph"/>
              <w:numPr>
                <w:ilvl w:val="0"/>
                <w:numId w:val="30"/>
              </w:numPr>
              <w:spacing w:after="0" w:line="259" w:lineRule="auto"/>
            </w:pPr>
            <w:r w:rsidRPr="004B442A">
              <w:t>Establish formal relationshi</w:t>
            </w:r>
            <w:r w:rsidR="000842E4" w:rsidRPr="004B442A">
              <w:t>p with local advocacy provide</w:t>
            </w:r>
            <w:r w:rsidR="00567C22">
              <w:t>rs, including invitation to attend NCSAB</w:t>
            </w:r>
            <w:r w:rsidR="000842E4" w:rsidRPr="009F77F7">
              <w:rPr>
                <w:i/>
                <w:color w:val="FF0000"/>
              </w:rPr>
              <w:t xml:space="preserve"> </w:t>
            </w:r>
          </w:p>
        </w:tc>
        <w:tc>
          <w:tcPr>
            <w:tcW w:w="734" w:type="pct"/>
          </w:tcPr>
          <w:p w:rsidR="00F42215" w:rsidRDefault="009F77F7" w:rsidP="00DD75CA">
            <w:r>
              <w:t>Board Manager and TLI</w:t>
            </w:r>
          </w:p>
          <w:p w:rsidR="00F42215" w:rsidRDefault="00F42215" w:rsidP="00DD75CA"/>
          <w:p w:rsidR="003D33D1" w:rsidRDefault="007E372B" w:rsidP="00DD75CA">
            <w:r>
              <w:t xml:space="preserve">Independent </w:t>
            </w:r>
            <w:r w:rsidR="00F42215">
              <w:t>Chair to invite</w:t>
            </w:r>
          </w:p>
        </w:tc>
        <w:tc>
          <w:tcPr>
            <w:tcW w:w="491" w:type="pct"/>
          </w:tcPr>
          <w:p w:rsidR="00F42215" w:rsidRDefault="00F42215" w:rsidP="00DD75CA">
            <w:pPr>
              <w:jc w:val="center"/>
            </w:pPr>
          </w:p>
          <w:p w:rsidR="00F42215" w:rsidRDefault="00F42215" w:rsidP="00DD75CA">
            <w:pPr>
              <w:jc w:val="center"/>
            </w:pPr>
          </w:p>
          <w:p w:rsidR="00F42215" w:rsidRDefault="00F42215" w:rsidP="00F42215"/>
          <w:p w:rsidR="003D33D1" w:rsidRDefault="00F42215" w:rsidP="00F42215">
            <w:r>
              <w:t>To June Board</w:t>
            </w:r>
          </w:p>
        </w:tc>
        <w:tc>
          <w:tcPr>
            <w:tcW w:w="171" w:type="pct"/>
            <w:gridSpan w:val="2"/>
            <w:shd w:val="clear" w:color="auto" w:fill="FABF8F" w:themeFill="accent6" w:themeFillTint="99"/>
            <w:vAlign w:val="center"/>
          </w:tcPr>
          <w:p w:rsidR="003D33D1" w:rsidRPr="002C66D3" w:rsidRDefault="00086A68" w:rsidP="002C66D3">
            <w:pPr>
              <w:pStyle w:val="Heading2"/>
            </w:pPr>
            <w:r w:rsidRPr="009E4AF9">
              <w:t>A</w:t>
            </w:r>
          </w:p>
        </w:tc>
        <w:tc>
          <w:tcPr>
            <w:tcW w:w="164" w:type="pct"/>
            <w:vAlign w:val="center"/>
          </w:tcPr>
          <w:p w:rsidR="003D33D1" w:rsidRPr="002C66D3" w:rsidRDefault="003D33D1" w:rsidP="002C66D3">
            <w:pPr>
              <w:spacing w:after="0" w:line="240" w:lineRule="auto"/>
              <w:jc w:val="center"/>
            </w:pPr>
          </w:p>
        </w:tc>
        <w:tc>
          <w:tcPr>
            <w:tcW w:w="925" w:type="pct"/>
          </w:tcPr>
          <w:p w:rsidR="003D33D1" w:rsidRPr="00086A68" w:rsidRDefault="00086A68" w:rsidP="00204A54">
            <w:pPr>
              <w:rPr>
                <w:i/>
                <w:szCs w:val="20"/>
              </w:rPr>
            </w:pPr>
            <w:r w:rsidRPr="00086A68">
              <w:rPr>
                <w:i/>
                <w:szCs w:val="20"/>
              </w:rPr>
              <w:t xml:space="preserve">(a) has not been actioned; Chair has met with PoHwer and agreed they will not attend the Board but will report to December Board </w:t>
            </w:r>
          </w:p>
        </w:tc>
      </w:tr>
      <w:tr w:rsidR="002E78D7" w:rsidRPr="00501685" w:rsidTr="00BE6646">
        <w:tblPrEx>
          <w:tblLook w:val="0000" w:firstRow="0" w:lastRow="0" w:firstColumn="0" w:lastColumn="0" w:noHBand="0" w:noVBand="0"/>
        </w:tblPrEx>
        <w:trPr>
          <w:trHeight w:val="1374"/>
          <w:jc w:val="center"/>
        </w:trPr>
        <w:tc>
          <w:tcPr>
            <w:tcW w:w="166" w:type="pct"/>
          </w:tcPr>
          <w:p w:rsidR="00C359FE" w:rsidRDefault="00C359FE" w:rsidP="00DD75CA">
            <w:pPr>
              <w:jc w:val="center"/>
              <w:rPr>
                <w:b/>
              </w:rPr>
            </w:pPr>
            <w:r>
              <w:rPr>
                <w:b/>
              </w:rPr>
              <w:t>3.3</w:t>
            </w:r>
          </w:p>
        </w:tc>
        <w:tc>
          <w:tcPr>
            <w:tcW w:w="901" w:type="pct"/>
          </w:tcPr>
          <w:p w:rsidR="00C359FE" w:rsidRDefault="00C359FE" w:rsidP="00C32570">
            <w:pPr>
              <w:spacing w:after="0"/>
            </w:pPr>
            <w:r>
              <w:t xml:space="preserve">The Board is informed of learning through complex case reviews and multi agency audits of any </w:t>
            </w:r>
            <w:r>
              <w:lastRenderedPageBreak/>
              <w:t>obstacles to implementation of MSP</w:t>
            </w:r>
          </w:p>
        </w:tc>
        <w:tc>
          <w:tcPr>
            <w:tcW w:w="1447" w:type="pct"/>
          </w:tcPr>
          <w:p w:rsidR="00C359FE" w:rsidRPr="00C359FE" w:rsidRDefault="00C359FE" w:rsidP="00C359FE">
            <w:pPr>
              <w:pStyle w:val="ListParagraph"/>
              <w:numPr>
                <w:ilvl w:val="0"/>
                <w:numId w:val="41"/>
              </w:numPr>
              <w:spacing w:after="160" w:line="259" w:lineRule="auto"/>
            </w:pPr>
            <w:r w:rsidRPr="00C359FE">
              <w:rPr>
                <w:rFonts w:cs="Helvetica"/>
                <w:bCs/>
                <w:szCs w:val="29"/>
              </w:rPr>
              <w:lastRenderedPageBreak/>
              <w:t>Ensure that the complex case review prov</w:t>
            </w:r>
            <w:r w:rsidR="002E78D7">
              <w:rPr>
                <w:rFonts w:cs="Helvetica"/>
                <w:bCs/>
                <w:szCs w:val="29"/>
              </w:rPr>
              <w:t>ides assurance (or intelligence</w:t>
            </w:r>
            <w:r w:rsidRPr="00C359FE">
              <w:rPr>
                <w:rFonts w:cs="Helvetica"/>
                <w:bCs/>
                <w:szCs w:val="29"/>
              </w:rPr>
              <w:t xml:space="preserve"> about the obstacles to MSP in practice</w:t>
            </w:r>
            <w:r w:rsidR="002E78D7">
              <w:rPr>
                <w:rFonts w:cs="Helvetica"/>
                <w:bCs/>
                <w:szCs w:val="29"/>
              </w:rPr>
              <w:t>)</w:t>
            </w:r>
            <w:r w:rsidRPr="00C359FE">
              <w:rPr>
                <w:rFonts w:cs="Helvetica"/>
                <w:bCs/>
                <w:szCs w:val="29"/>
              </w:rPr>
              <w:t xml:space="preserve"> </w:t>
            </w:r>
          </w:p>
        </w:tc>
        <w:tc>
          <w:tcPr>
            <w:tcW w:w="734" w:type="pct"/>
          </w:tcPr>
          <w:p w:rsidR="00C359FE" w:rsidRDefault="009F77F7" w:rsidP="00DD75CA">
            <w:r>
              <w:t>SAR</w:t>
            </w:r>
            <w:r w:rsidR="002E78D7">
              <w:t xml:space="preserve"> </w:t>
            </w:r>
            <w:r>
              <w:t>s/g, QA, TLI</w:t>
            </w:r>
          </w:p>
        </w:tc>
        <w:tc>
          <w:tcPr>
            <w:tcW w:w="491" w:type="pct"/>
          </w:tcPr>
          <w:p w:rsidR="00C359FE" w:rsidRDefault="00C359FE" w:rsidP="00DD75CA">
            <w:pPr>
              <w:jc w:val="center"/>
            </w:pPr>
          </w:p>
        </w:tc>
        <w:tc>
          <w:tcPr>
            <w:tcW w:w="171" w:type="pct"/>
            <w:gridSpan w:val="2"/>
            <w:shd w:val="clear" w:color="auto" w:fill="C2D69B" w:themeFill="accent3" w:themeFillTint="99"/>
            <w:vAlign w:val="center"/>
          </w:tcPr>
          <w:p w:rsidR="00C359FE" w:rsidRPr="002C66D3" w:rsidRDefault="00086A68" w:rsidP="002C66D3">
            <w:pPr>
              <w:pStyle w:val="Heading2"/>
            </w:pPr>
            <w:r w:rsidRPr="009E4AF9">
              <w:t>G</w:t>
            </w:r>
          </w:p>
        </w:tc>
        <w:tc>
          <w:tcPr>
            <w:tcW w:w="164" w:type="pct"/>
            <w:vAlign w:val="center"/>
          </w:tcPr>
          <w:p w:rsidR="00C359FE" w:rsidRPr="002C66D3" w:rsidRDefault="00C359FE" w:rsidP="002C66D3">
            <w:pPr>
              <w:spacing w:after="0" w:line="240" w:lineRule="auto"/>
              <w:jc w:val="center"/>
            </w:pPr>
          </w:p>
        </w:tc>
        <w:tc>
          <w:tcPr>
            <w:tcW w:w="925" w:type="pct"/>
          </w:tcPr>
          <w:p w:rsidR="00C359FE" w:rsidRPr="00086A68" w:rsidRDefault="00086A68" w:rsidP="00204A54">
            <w:pPr>
              <w:rPr>
                <w:i/>
                <w:szCs w:val="20"/>
              </w:rPr>
            </w:pPr>
            <w:r>
              <w:rPr>
                <w:i/>
                <w:szCs w:val="20"/>
              </w:rPr>
              <w:t>T</w:t>
            </w:r>
            <w:r w:rsidRPr="00086A68">
              <w:rPr>
                <w:i/>
                <w:szCs w:val="20"/>
              </w:rPr>
              <w:t>his is in place in the complex review process</w:t>
            </w:r>
          </w:p>
        </w:tc>
      </w:tr>
      <w:tr w:rsidR="002C66D3" w:rsidRPr="001E4D46">
        <w:trPr>
          <w:trHeight w:val="524"/>
          <w:jc w:val="center"/>
        </w:trPr>
        <w:tc>
          <w:tcPr>
            <w:tcW w:w="5000" w:type="pct"/>
            <w:gridSpan w:val="9"/>
            <w:tcBorders>
              <w:bottom w:val="single" w:sz="4" w:space="0" w:color="auto"/>
            </w:tcBorders>
            <w:shd w:val="clear" w:color="auto" w:fill="D9D9D9" w:themeFill="background1" w:themeFillShade="D9"/>
            <w:vAlign w:val="center"/>
          </w:tcPr>
          <w:p w:rsidR="002C66D3" w:rsidRPr="002C66D3" w:rsidRDefault="002C66D3" w:rsidP="002C66D3">
            <w:pPr>
              <w:keepNext/>
              <w:keepLines/>
              <w:spacing w:before="40" w:after="0" w:line="240" w:lineRule="auto"/>
              <w:jc w:val="center"/>
              <w:outlineLvl w:val="1"/>
              <w:rPr>
                <w:rFonts w:ascii="Calibri Light" w:hAnsi="Calibri Light"/>
                <w:b/>
                <w:sz w:val="28"/>
                <w:szCs w:val="28"/>
              </w:rPr>
            </w:pPr>
            <w:r w:rsidRPr="002C66D3">
              <w:rPr>
                <w:rFonts w:ascii="Calibri Light" w:hAnsi="Calibri Light"/>
                <w:b/>
                <w:sz w:val="28"/>
                <w:szCs w:val="28"/>
              </w:rPr>
              <w:lastRenderedPageBreak/>
              <w:t>Strategic Priority 4) Safeguarding Performance and Capacity</w:t>
            </w:r>
          </w:p>
        </w:tc>
      </w:tr>
      <w:tr w:rsidR="002E78D7" w:rsidRPr="00501685" w:rsidTr="00BE6646">
        <w:trPr>
          <w:trHeight w:val="1128"/>
          <w:jc w:val="center"/>
        </w:trPr>
        <w:tc>
          <w:tcPr>
            <w:tcW w:w="166" w:type="pct"/>
          </w:tcPr>
          <w:p w:rsidR="00CB03AF" w:rsidRPr="00501685" w:rsidRDefault="00CB03AF" w:rsidP="00DD75CA">
            <w:pPr>
              <w:keepNext/>
              <w:keepLines/>
              <w:spacing w:before="40" w:after="0" w:line="240" w:lineRule="auto"/>
              <w:ind w:left="-77"/>
              <w:outlineLvl w:val="1"/>
              <w:rPr>
                <w:rFonts w:ascii="Calibri Light" w:hAnsi="Calibri Light"/>
                <w:b/>
              </w:rPr>
            </w:pPr>
            <w:r>
              <w:rPr>
                <w:rFonts w:ascii="Calibri Light" w:hAnsi="Calibri Light"/>
                <w:b/>
              </w:rPr>
              <w:t>4.1</w:t>
            </w:r>
          </w:p>
        </w:tc>
        <w:tc>
          <w:tcPr>
            <w:tcW w:w="901" w:type="pct"/>
          </w:tcPr>
          <w:p w:rsidR="00CB03AF" w:rsidRPr="006C7D61" w:rsidRDefault="00CB03AF" w:rsidP="00C32570">
            <w:pPr>
              <w:widowControl w:val="0"/>
              <w:autoSpaceDE w:val="0"/>
              <w:autoSpaceDN w:val="0"/>
              <w:adjustRightInd w:val="0"/>
              <w:spacing w:after="0"/>
            </w:pPr>
            <w:r>
              <w:rPr>
                <w:rFonts w:cs="Helvetica"/>
                <w:bCs/>
                <w:szCs w:val="29"/>
              </w:rPr>
              <w:t xml:space="preserve">Assurance that suitable, </w:t>
            </w:r>
            <w:r w:rsidRPr="006C7D61">
              <w:rPr>
                <w:rFonts w:cs="Helvetica"/>
                <w:bCs/>
                <w:szCs w:val="29"/>
              </w:rPr>
              <w:t>sustainable arrangements</w:t>
            </w:r>
            <w:r>
              <w:rPr>
                <w:rFonts w:cs="Helvetica"/>
                <w:bCs/>
                <w:szCs w:val="29"/>
              </w:rPr>
              <w:t xml:space="preserve"> </w:t>
            </w:r>
            <w:r w:rsidRPr="006C7D61">
              <w:rPr>
                <w:rFonts w:cs="Helvetica"/>
                <w:bCs/>
                <w:szCs w:val="29"/>
              </w:rPr>
              <w:t xml:space="preserve">are </w:t>
            </w:r>
            <w:r>
              <w:rPr>
                <w:rFonts w:cs="Helvetica"/>
                <w:bCs/>
                <w:szCs w:val="29"/>
              </w:rPr>
              <w:t>in place to achieve continuous learning and i</w:t>
            </w:r>
            <w:r w:rsidRPr="006C7D61">
              <w:rPr>
                <w:rFonts w:cs="Helvetica"/>
                <w:bCs/>
                <w:szCs w:val="29"/>
              </w:rPr>
              <w:t>mprovement</w:t>
            </w:r>
            <w:r>
              <w:rPr>
                <w:rFonts w:cs="Helvetica"/>
                <w:bCs/>
                <w:szCs w:val="29"/>
              </w:rPr>
              <w:t xml:space="preserve"> across the adult safeguarding partnership</w:t>
            </w:r>
          </w:p>
        </w:tc>
        <w:tc>
          <w:tcPr>
            <w:tcW w:w="1447" w:type="pct"/>
          </w:tcPr>
          <w:p w:rsidR="00CB03AF" w:rsidRPr="00EC3977" w:rsidRDefault="00567C22" w:rsidP="000842E4">
            <w:pPr>
              <w:pStyle w:val="ListParagraph"/>
              <w:keepNext/>
              <w:keepLines/>
              <w:numPr>
                <w:ilvl w:val="0"/>
                <w:numId w:val="33"/>
              </w:numPr>
              <w:spacing w:before="40" w:after="0" w:line="240" w:lineRule="auto"/>
              <w:outlineLvl w:val="1"/>
            </w:pPr>
            <w:r>
              <w:t>A</w:t>
            </w:r>
            <w:r w:rsidR="000842E4" w:rsidRPr="00EC3977">
              <w:t>gree workplan &amp; priorities for the TLI subgroup</w:t>
            </w:r>
          </w:p>
          <w:p w:rsidR="000842E4" w:rsidRPr="000842E4" w:rsidRDefault="000842E4" w:rsidP="000842E4">
            <w:pPr>
              <w:pStyle w:val="ListParagraph"/>
              <w:keepNext/>
              <w:keepLines/>
              <w:numPr>
                <w:ilvl w:val="0"/>
                <w:numId w:val="33"/>
              </w:numPr>
              <w:spacing w:before="40" w:after="0" w:line="240" w:lineRule="auto"/>
              <w:outlineLvl w:val="1"/>
              <w:rPr>
                <w:rFonts w:ascii="Calibri Light" w:hAnsi="Calibri Light"/>
              </w:rPr>
            </w:pPr>
            <w:r w:rsidRPr="00EC3977">
              <w:t>Keep the TLI strategy under review to ensure effectiveness and mitigate risk arising from lack of board capacity (no training officer)</w:t>
            </w:r>
          </w:p>
        </w:tc>
        <w:tc>
          <w:tcPr>
            <w:tcW w:w="734" w:type="pct"/>
          </w:tcPr>
          <w:p w:rsidR="00CB03AF" w:rsidRPr="00567C22" w:rsidRDefault="00567C22" w:rsidP="00DD75CA">
            <w:pPr>
              <w:keepNext/>
              <w:keepLines/>
              <w:spacing w:before="40" w:after="0" w:line="240" w:lineRule="auto"/>
              <w:outlineLvl w:val="1"/>
              <w:rPr>
                <w:rFonts w:ascii="Calibri Light" w:hAnsi="Calibri Light"/>
              </w:rPr>
            </w:pPr>
            <w:r w:rsidRPr="00567C22">
              <w:rPr>
                <w:rFonts w:ascii="Calibri Light" w:hAnsi="Calibri Light"/>
              </w:rPr>
              <w:t>BMG</w:t>
            </w:r>
          </w:p>
        </w:tc>
        <w:tc>
          <w:tcPr>
            <w:tcW w:w="497" w:type="pct"/>
            <w:gridSpan w:val="2"/>
            <w:vAlign w:val="center"/>
          </w:tcPr>
          <w:p w:rsidR="00CB03AF" w:rsidRPr="00726DB4" w:rsidRDefault="00CB03AF" w:rsidP="00DD75CA">
            <w:pPr>
              <w:keepNext/>
              <w:keepLines/>
              <w:spacing w:before="40" w:after="0" w:line="240" w:lineRule="auto"/>
              <w:jc w:val="center"/>
              <w:outlineLvl w:val="1"/>
              <w:rPr>
                <w:rFonts w:ascii="Calibri Light" w:hAnsi="Calibri Light"/>
              </w:rPr>
            </w:pPr>
          </w:p>
        </w:tc>
        <w:tc>
          <w:tcPr>
            <w:tcW w:w="165" w:type="pct"/>
            <w:shd w:val="clear" w:color="auto" w:fill="auto"/>
            <w:vAlign w:val="center"/>
          </w:tcPr>
          <w:p w:rsidR="00CB03AF" w:rsidRPr="00CB03AF" w:rsidRDefault="00086A68" w:rsidP="00CB03AF">
            <w:pPr>
              <w:pStyle w:val="Heading2"/>
              <w:keepLines/>
              <w:spacing w:before="40" w:after="0" w:line="240" w:lineRule="auto"/>
              <w:rPr>
                <w:rFonts w:ascii="Calibri Light" w:hAnsi="Calibri Light"/>
              </w:rPr>
            </w:pPr>
            <w:r w:rsidRPr="009E4AF9">
              <w:rPr>
                <w:rFonts w:ascii="Calibri Light" w:hAnsi="Calibri Light"/>
              </w:rPr>
              <w:t>A</w:t>
            </w:r>
          </w:p>
        </w:tc>
        <w:tc>
          <w:tcPr>
            <w:tcW w:w="164" w:type="pct"/>
            <w:vAlign w:val="center"/>
          </w:tcPr>
          <w:p w:rsidR="00CB03AF" w:rsidRPr="002C66D3" w:rsidRDefault="00CB03AF" w:rsidP="00221EFA">
            <w:pPr>
              <w:spacing w:after="0" w:line="240" w:lineRule="auto"/>
              <w:jc w:val="center"/>
            </w:pPr>
          </w:p>
        </w:tc>
        <w:tc>
          <w:tcPr>
            <w:tcW w:w="925" w:type="pct"/>
          </w:tcPr>
          <w:p w:rsidR="00CB03AF" w:rsidRPr="00086A68" w:rsidRDefault="00086A68" w:rsidP="00DD75CA">
            <w:pPr>
              <w:keepNext/>
              <w:keepLines/>
              <w:spacing w:before="40" w:after="0" w:line="240" w:lineRule="auto"/>
              <w:outlineLvl w:val="1"/>
              <w:rPr>
                <w:i/>
              </w:rPr>
            </w:pPr>
            <w:r>
              <w:rPr>
                <w:i/>
              </w:rPr>
              <w:t>TLI subgroup</w:t>
            </w:r>
            <w:r w:rsidRPr="00086A68">
              <w:rPr>
                <w:i/>
              </w:rPr>
              <w:t xml:space="preserve"> has a new Chair and held its first meeting this year in June so the future is more promising but absence of Board Manager and part time appointment make implementation difficult</w:t>
            </w:r>
          </w:p>
        </w:tc>
      </w:tr>
      <w:tr w:rsidR="002E78D7" w:rsidRPr="00501685" w:rsidTr="00BE6646">
        <w:trPr>
          <w:trHeight w:val="998"/>
          <w:jc w:val="center"/>
        </w:trPr>
        <w:tc>
          <w:tcPr>
            <w:tcW w:w="166" w:type="pct"/>
          </w:tcPr>
          <w:p w:rsidR="000842E4" w:rsidRDefault="005473F5" w:rsidP="000842E4">
            <w:pPr>
              <w:keepNext/>
              <w:keepLines/>
              <w:spacing w:before="40" w:after="0" w:line="240" w:lineRule="auto"/>
              <w:ind w:left="-77"/>
              <w:outlineLvl w:val="1"/>
              <w:rPr>
                <w:rFonts w:ascii="Calibri Light" w:hAnsi="Calibri Light"/>
                <w:b/>
              </w:rPr>
            </w:pPr>
            <w:r>
              <w:rPr>
                <w:rFonts w:ascii="Calibri Light" w:hAnsi="Calibri Light"/>
                <w:b/>
              </w:rPr>
              <w:t>4.2</w:t>
            </w:r>
          </w:p>
        </w:tc>
        <w:tc>
          <w:tcPr>
            <w:tcW w:w="901" w:type="pct"/>
          </w:tcPr>
          <w:p w:rsidR="000842E4" w:rsidRDefault="005473F5" w:rsidP="000842E4">
            <w:pPr>
              <w:widowControl w:val="0"/>
              <w:autoSpaceDE w:val="0"/>
              <w:autoSpaceDN w:val="0"/>
              <w:adjustRightInd w:val="0"/>
              <w:rPr>
                <w:rFonts w:cs="Helvetica"/>
                <w:bCs/>
                <w:szCs w:val="29"/>
              </w:rPr>
            </w:pPr>
            <w:r>
              <w:rPr>
                <w:rFonts w:cs="Helvetica"/>
                <w:bCs/>
                <w:szCs w:val="29"/>
              </w:rPr>
              <w:t>Assurance that members of the public are aware of Adult Safeguarding, what to look out for, how to refer.</w:t>
            </w:r>
          </w:p>
        </w:tc>
        <w:tc>
          <w:tcPr>
            <w:tcW w:w="1447" w:type="pct"/>
          </w:tcPr>
          <w:p w:rsidR="000842E4" w:rsidRPr="00785407" w:rsidRDefault="000842E4" w:rsidP="000842E4">
            <w:pPr>
              <w:pStyle w:val="ListParagraph"/>
              <w:numPr>
                <w:ilvl w:val="0"/>
                <w:numId w:val="32"/>
              </w:numPr>
              <w:spacing w:after="0" w:line="240" w:lineRule="auto"/>
            </w:pPr>
            <w:r w:rsidRPr="00785407">
              <w:t>Review referral data following distribution of posters</w:t>
            </w:r>
          </w:p>
          <w:p w:rsidR="000842E4" w:rsidRPr="00785407" w:rsidRDefault="00785407" w:rsidP="000842E4">
            <w:pPr>
              <w:pStyle w:val="ListParagraph"/>
              <w:numPr>
                <w:ilvl w:val="0"/>
                <w:numId w:val="32"/>
              </w:numPr>
              <w:spacing w:after="0" w:line="240" w:lineRule="auto"/>
            </w:pPr>
            <w:r w:rsidRPr="00785407">
              <w:t>R</w:t>
            </w:r>
            <w:r w:rsidR="000842E4" w:rsidRPr="00785407">
              <w:t>eview outcome of Healthwatch s</w:t>
            </w:r>
            <w:r w:rsidR="00C359FE">
              <w:t>afeguarding survey</w:t>
            </w:r>
            <w:r w:rsidR="000842E4" w:rsidRPr="00785407">
              <w:t xml:space="preserve"> </w:t>
            </w:r>
          </w:p>
          <w:p w:rsidR="000842E4" w:rsidRPr="001E4D46" w:rsidRDefault="000842E4" w:rsidP="00C32570">
            <w:pPr>
              <w:pStyle w:val="ListParagraph"/>
              <w:numPr>
                <w:ilvl w:val="0"/>
                <w:numId w:val="32"/>
              </w:numPr>
              <w:spacing w:after="0" w:line="240" w:lineRule="auto"/>
            </w:pPr>
            <w:r w:rsidRPr="00785407">
              <w:t xml:space="preserve">Review outcome of additional question in the adults social care survey </w:t>
            </w:r>
          </w:p>
        </w:tc>
        <w:tc>
          <w:tcPr>
            <w:tcW w:w="734" w:type="pct"/>
          </w:tcPr>
          <w:p w:rsidR="000842E4" w:rsidRDefault="00567C22" w:rsidP="000842E4">
            <w:pPr>
              <w:keepNext/>
              <w:keepLines/>
              <w:spacing w:before="40" w:after="0" w:line="240" w:lineRule="auto"/>
              <w:outlineLvl w:val="1"/>
            </w:pPr>
            <w:r>
              <w:t>Board Manager/TLI subgroup</w:t>
            </w:r>
          </w:p>
        </w:tc>
        <w:tc>
          <w:tcPr>
            <w:tcW w:w="497" w:type="pct"/>
            <w:gridSpan w:val="2"/>
          </w:tcPr>
          <w:p w:rsidR="000842E4" w:rsidRPr="004B0A5C" w:rsidRDefault="000842E4" w:rsidP="000842E4">
            <w:pPr>
              <w:keepNext/>
              <w:keepLines/>
              <w:spacing w:before="40" w:after="0" w:line="240" w:lineRule="auto"/>
              <w:ind w:left="175" w:hanging="283"/>
              <w:outlineLvl w:val="1"/>
            </w:pPr>
          </w:p>
        </w:tc>
        <w:tc>
          <w:tcPr>
            <w:tcW w:w="165" w:type="pct"/>
          </w:tcPr>
          <w:p w:rsidR="00086A68" w:rsidRDefault="00086A68" w:rsidP="000842E4">
            <w:pPr>
              <w:pStyle w:val="Heading3"/>
            </w:pPr>
          </w:p>
          <w:p w:rsidR="00086A68" w:rsidRDefault="00086A68" w:rsidP="000842E4">
            <w:pPr>
              <w:pStyle w:val="Heading3"/>
            </w:pPr>
          </w:p>
          <w:p w:rsidR="000842E4" w:rsidRPr="00CB03AF" w:rsidRDefault="00086A68" w:rsidP="000842E4">
            <w:pPr>
              <w:pStyle w:val="Heading3"/>
            </w:pPr>
            <w:r w:rsidRPr="009E4AF9">
              <w:t>A</w:t>
            </w:r>
          </w:p>
        </w:tc>
        <w:tc>
          <w:tcPr>
            <w:tcW w:w="164" w:type="pct"/>
            <w:vAlign w:val="center"/>
          </w:tcPr>
          <w:p w:rsidR="000842E4" w:rsidRPr="002C66D3" w:rsidRDefault="000842E4" w:rsidP="000842E4">
            <w:pPr>
              <w:keepNext/>
              <w:keepLines/>
              <w:spacing w:before="40" w:after="0" w:line="240" w:lineRule="auto"/>
              <w:ind w:left="175" w:hanging="283"/>
              <w:jc w:val="center"/>
              <w:outlineLvl w:val="1"/>
            </w:pPr>
          </w:p>
        </w:tc>
        <w:tc>
          <w:tcPr>
            <w:tcW w:w="925" w:type="pct"/>
          </w:tcPr>
          <w:p w:rsidR="000842E4" w:rsidRDefault="00086A68" w:rsidP="000842E4">
            <w:pPr>
              <w:keepNext/>
              <w:keepLines/>
              <w:spacing w:before="40" w:after="0" w:line="240" w:lineRule="auto"/>
              <w:ind w:left="-104"/>
              <w:outlineLvl w:val="1"/>
              <w:rPr>
                <w:i/>
              </w:rPr>
            </w:pPr>
            <w:r>
              <w:rPr>
                <w:i/>
              </w:rPr>
              <w:t>Board Manager meeting with ASC data manager; Healthwatch report to June Board but follow up actions need TLI subgroup and Board Manager action</w:t>
            </w:r>
            <w:r w:rsidR="007E4090">
              <w:rPr>
                <w:i/>
              </w:rPr>
              <w:t xml:space="preserve"> when feasbile</w:t>
            </w:r>
          </w:p>
        </w:tc>
      </w:tr>
      <w:tr w:rsidR="000842E4" w:rsidRPr="00501685" w:rsidTr="00BE6646">
        <w:trPr>
          <w:trHeight w:val="567"/>
          <w:jc w:val="center"/>
        </w:trPr>
        <w:tc>
          <w:tcPr>
            <w:tcW w:w="166" w:type="pct"/>
            <w:vMerge w:val="restart"/>
          </w:tcPr>
          <w:p w:rsidR="000842E4" w:rsidRPr="00501685" w:rsidRDefault="000842E4" w:rsidP="000842E4">
            <w:pPr>
              <w:keepNext/>
              <w:keepLines/>
              <w:spacing w:before="40" w:after="0" w:line="240" w:lineRule="auto"/>
              <w:ind w:left="-77"/>
              <w:outlineLvl w:val="1"/>
              <w:rPr>
                <w:rFonts w:ascii="Calibri Light" w:hAnsi="Calibri Light"/>
                <w:b/>
              </w:rPr>
            </w:pPr>
            <w:r>
              <w:rPr>
                <w:rFonts w:ascii="Calibri Light" w:hAnsi="Calibri Light"/>
                <w:b/>
              </w:rPr>
              <w:t>4.3</w:t>
            </w:r>
          </w:p>
        </w:tc>
        <w:tc>
          <w:tcPr>
            <w:tcW w:w="901" w:type="pct"/>
            <w:vMerge w:val="restart"/>
          </w:tcPr>
          <w:p w:rsidR="000842E4" w:rsidRDefault="000842E4" w:rsidP="000842E4">
            <w:pPr>
              <w:widowControl w:val="0"/>
              <w:autoSpaceDE w:val="0"/>
              <w:autoSpaceDN w:val="0"/>
              <w:adjustRightInd w:val="0"/>
              <w:rPr>
                <w:rFonts w:cs="Helvetica"/>
                <w:bCs/>
                <w:szCs w:val="29"/>
              </w:rPr>
            </w:pPr>
            <w:r>
              <w:rPr>
                <w:rFonts w:cs="Helvetica"/>
                <w:bCs/>
                <w:szCs w:val="29"/>
              </w:rPr>
              <w:t>Assurance that there are effective methods for communication with Nottingham citizens and the workforce.</w:t>
            </w:r>
          </w:p>
          <w:p w:rsidR="000842E4" w:rsidRDefault="000842E4" w:rsidP="000842E4">
            <w:pPr>
              <w:widowControl w:val="0"/>
              <w:autoSpaceDE w:val="0"/>
              <w:autoSpaceDN w:val="0"/>
              <w:adjustRightInd w:val="0"/>
              <w:rPr>
                <w:rFonts w:cs="Helvetica"/>
                <w:bCs/>
                <w:szCs w:val="29"/>
              </w:rPr>
            </w:pPr>
          </w:p>
          <w:p w:rsidR="000842E4" w:rsidRPr="004B0A5C" w:rsidRDefault="000842E4" w:rsidP="000842E4">
            <w:pPr>
              <w:rPr>
                <w:rFonts w:cs="Helvetica"/>
                <w:bCs/>
                <w:szCs w:val="29"/>
              </w:rPr>
            </w:pPr>
          </w:p>
        </w:tc>
        <w:tc>
          <w:tcPr>
            <w:tcW w:w="3932" w:type="pct"/>
            <w:gridSpan w:val="7"/>
          </w:tcPr>
          <w:p w:rsidR="000842E4" w:rsidRPr="00AA3198" w:rsidRDefault="000842E4" w:rsidP="000842E4">
            <w:pPr>
              <w:keepNext/>
              <w:keepLines/>
              <w:spacing w:before="40" w:after="0" w:line="240" w:lineRule="auto"/>
              <w:outlineLvl w:val="1"/>
            </w:pPr>
            <w:r w:rsidRPr="00B21CC0">
              <w:t xml:space="preserve">Implement Comms &amp; Engagement Strategy devised </w:t>
            </w:r>
            <w:r w:rsidR="00E65A37">
              <w:t>in 2016/17 jointly with NCSCB</w:t>
            </w:r>
          </w:p>
        </w:tc>
      </w:tr>
      <w:tr w:rsidR="002E78D7" w:rsidRPr="00501685" w:rsidTr="00BE6646">
        <w:trPr>
          <w:trHeight w:val="1026"/>
          <w:jc w:val="center"/>
        </w:trPr>
        <w:tc>
          <w:tcPr>
            <w:tcW w:w="166" w:type="pct"/>
            <w:vMerge/>
          </w:tcPr>
          <w:p w:rsidR="000842E4" w:rsidRDefault="000842E4" w:rsidP="000842E4">
            <w:pPr>
              <w:keepNext/>
              <w:keepLines/>
              <w:spacing w:before="40" w:after="0" w:line="240" w:lineRule="auto"/>
              <w:ind w:left="-77"/>
              <w:outlineLvl w:val="1"/>
              <w:rPr>
                <w:rFonts w:ascii="Calibri Light" w:hAnsi="Calibri Light"/>
                <w:b/>
              </w:rPr>
            </w:pPr>
          </w:p>
        </w:tc>
        <w:tc>
          <w:tcPr>
            <w:tcW w:w="901" w:type="pct"/>
            <w:vMerge/>
          </w:tcPr>
          <w:p w:rsidR="000842E4" w:rsidRDefault="000842E4" w:rsidP="000842E4">
            <w:pPr>
              <w:widowControl w:val="0"/>
              <w:autoSpaceDE w:val="0"/>
              <w:autoSpaceDN w:val="0"/>
              <w:adjustRightInd w:val="0"/>
              <w:rPr>
                <w:rFonts w:cs="Helvetica"/>
                <w:bCs/>
                <w:szCs w:val="29"/>
              </w:rPr>
            </w:pPr>
          </w:p>
        </w:tc>
        <w:tc>
          <w:tcPr>
            <w:tcW w:w="1447" w:type="pct"/>
          </w:tcPr>
          <w:p w:rsidR="000842E4" w:rsidRPr="00B21CC0" w:rsidRDefault="00E65A37" w:rsidP="00E65A37">
            <w:pPr>
              <w:pStyle w:val="ListParagraph"/>
              <w:keepNext/>
              <w:keepLines/>
              <w:numPr>
                <w:ilvl w:val="0"/>
                <w:numId w:val="9"/>
              </w:numPr>
              <w:spacing w:before="40" w:after="0" w:line="240" w:lineRule="auto"/>
              <w:ind w:left="175" w:hanging="283"/>
              <w:outlineLvl w:val="1"/>
            </w:pPr>
            <w:r>
              <w:t>Continue to d</w:t>
            </w:r>
            <w:r w:rsidR="000842E4" w:rsidRPr="00B21CC0">
              <w:t xml:space="preserve">evelop </w:t>
            </w:r>
            <w:r>
              <w:t xml:space="preserve">the </w:t>
            </w:r>
            <w:r w:rsidR="000842E4" w:rsidRPr="00B21CC0">
              <w:t xml:space="preserve">NCSAB Website </w:t>
            </w:r>
            <w:r>
              <w:t>to make</w:t>
            </w:r>
            <w:r w:rsidR="000842E4" w:rsidRPr="00B21CC0">
              <w:t xml:space="preserve"> tools, resources and learning accessible. </w:t>
            </w:r>
          </w:p>
        </w:tc>
        <w:tc>
          <w:tcPr>
            <w:tcW w:w="734" w:type="pct"/>
          </w:tcPr>
          <w:p w:rsidR="000842E4" w:rsidRDefault="000842E4" w:rsidP="00E65A37">
            <w:pPr>
              <w:keepNext/>
              <w:keepLines/>
              <w:spacing w:before="40" w:after="0" w:line="240" w:lineRule="auto"/>
              <w:outlineLvl w:val="1"/>
            </w:pPr>
            <w:r w:rsidRPr="007B41AA">
              <w:t>Board Manager,</w:t>
            </w:r>
            <w:r w:rsidR="00E65A37">
              <w:t>/TLI subgroup</w:t>
            </w:r>
          </w:p>
        </w:tc>
        <w:tc>
          <w:tcPr>
            <w:tcW w:w="497" w:type="pct"/>
            <w:gridSpan w:val="2"/>
          </w:tcPr>
          <w:p w:rsidR="000842E4" w:rsidRPr="004B0A5C" w:rsidRDefault="000842E4" w:rsidP="000842E4">
            <w:pPr>
              <w:keepNext/>
              <w:keepLines/>
              <w:spacing w:before="40" w:after="0" w:line="240" w:lineRule="auto"/>
              <w:ind w:left="175" w:hanging="283"/>
              <w:outlineLvl w:val="1"/>
            </w:pPr>
          </w:p>
        </w:tc>
        <w:tc>
          <w:tcPr>
            <w:tcW w:w="165" w:type="pct"/>
            <w:shd w:val="clear" w:color="auto" w:fill="auto"/>
            <w:vAlign w:val="center"/>
          </w:tcPr>
          <w:p w:rsidR="000842E4" w:rsidRPr="00CB03AF" w:rsidRDefault="00086A68" w:rsidP="000842E4">
            <w:pPr>
              <w:pStyle w:val="Heading3"/>
            </w:pPr>
            <w:r w:rsidRPr="009E4AF9">
              <w:t>R</w:t>
            </w:r>
          </w:p>
        </w:tc>
        <w:tc>
          <w:tcPr>
            <w:tcW w:w="164" w:type="pct"/>
            <w:vAlign w:val="center"/>
          </w:tcPr>
          <w:p w:rsidR="000842E4" w:rsidRPr="00CB03AF" w:rsidRDefault="000842E4" w:rsidP="000842E4">
            <w:pPr>
              <w:keepNext/>
              <w:keepLines/>
              <w:spacing w:before="40" w:after="0" w:line="240" w:lineRule="auto"/>
              <w:outlineLvl w:val="1"/>
              <w:rPr>
                <w:b/>
                <w:sz w:val="24"/>
                <w:szCs w:val="24"/>
              </w:rPr>
            </w:pPr>
          </w:p>
        </w:tc>
        <w:tc>
          <w:tcPr>
            <w:tcW w:w="925" w:type="pct"/>
            <w:vMerge w:val="restart"/>
          </w:tcPr>
          <w:p w:rsidR="000842E4" w:rsidRPr="00086A68" w:rsidRDefault="00086A68" w:rsidP="000842E4">
            <w:pPr>
              <w:keepNext/>
              <w:keepLines/>
              <w:spacing w:before="40" w:after="0" w:line="240" w:lineRule="auto"/>
              <w:ind w:left="175" w:hanging="283"/>
              <w:outlineLvl w:val="1"/>
              <w:rPr>
                <w:i/>
              </w:rPr>
            </w:pPr>
            <w:r w:rsidRPr="00086A68">
              <w:rPr>
                <w:i/>
              </w:rPr>
              <w:t>For reasons described above there has been no progress with this</w:t>
            </w:r>
          </w:p>
        </w:tc>
      </w:tr>
      <w:tr w:rsidR="002E78D7" w:rsidRPr="00501685" w:rsidTr="00BE6646">
        <w:trPr>
          <w:trHeight w:val="1299"/>
          <w:jc w:val="center"/>
        </w:trPr>
        <w:tc>
          <w:tcPr>
            <w:tcW w:w="166" w:type="pct"/>
            <w:vMerge/>
          </w:tcPr>
          <w:p w:rsidR="000842E4" w:rsidRDefault="000842E4" w:rsidP="000842E4">
            <w:pPr>
              <w:keepNext/>
              <w:keepLines/>
              <w:spacing w:before="40" w:after="0" w:line="240" w:lineRule="auto"/>
              <w:ind w:left="-77"/>
              <w:outlineLvl w:val="1"/>
              <w:rPr>
                <w:rFonts w:ascii="Calibri Light" w:hAnsi="Calibri Light"/>
                <w:b/>
              </w:rPr>
            </w:pPr>
          </w:p>
        </w:tc>
        <w:tc>
          <w:tcPr>
            <w:tcW w:w="901" w:type="pct"/>
            <w:vMerge/>
          </w:tcPr>
          <w:p w:rsidR="000842E4" w:rsidRDefault="000842E4" w:rsidP="000842E4">
            <w:pPr>
              <w:widowControl w:val="0"/>
              <w:autoSpaceDE w:val="0"/>
              <w:autoSpaceDN w:val="0"/>
              <w:adjustRightInd w:val="0"/>
              <w:rPr>
                <w:rFonts w:cs="Helvetica"/>
                <w:bCs/>
                <w:szCs w:val="29"/>
              </w:rPr>
            </w:pPr>
          </w:p>
        </w:tc>
        <w:tc>
          <w:tcPr>
            <w:tcW w:w="1447" w:type="pct"/>
          </w:tcPr>
          <w:p w:rsidR="000842E4" w:rsidRPr="00B21CC0" w:rsidRDefault="000842E4" w:rsidP="000842E4">
            <w:pPr>
              <w:pStyle w:val="ListParagraph"/>
              <w:keepNext/>
              <w:keepLines/>
              <w:numPr>
                <w:ilvl w:val="0"/>
                <w:numId w:val="9"/>
              </w:numPr>
              <w:spacing w:before="40" w:after="0" w:line="240" w:lineRule="auto"/>
              <w:ind w:left="175" w:hanging="283"/>
              <w:outlineLvl w:val="1"/>
            </w:pPr>
            <w:r>
              <w:t>Develop comms &amp; enga</w:t>
            </w:r>
            <w:r w:rsidR="005473F5">
              <w:t>gement toolkit based on the in</w:t>
            </w:r>
            <w:r w:rsidR="002E78D7">
              <w:t>si</w:t>
            </w:r>
            <w:r>
              <w:t>ght map</w:t>
            </w:r>
            <w:r>
              <w:tab/>
            </w:r>
          </w:p>
        </w:tc>
        <w:tc>
          <w:tcPr>
            <w:tcW w:w="734" w:type="pct"/>
          </w:tcPr>
          <w:p w:rsidR="000842E4" w:rsidRDefault="000842E4" w:rsidP="00E65A37">
            <w:pPr>
              <w:keepNext/>
              <w:keepLines/>
              <w:spacing w:before="40" w:after="0" w:line="240" w:lineRule="auto"/>
              <w:outlineLvl w:val="1"/>
            </w:pPr>
            <w:r w:rsidRPr="007B41AA">
              <w:t>Board Manager /</w:t>
            </w:r>
            <w:r w:rsidR="00E65A37">
              <w:t>TLI subgroup</w:t>
            </w:r>
          </w:p>
        </w:tc>
        <w:tc>
          <w:tcPr>
            <w:tcW w:w="497" w:type="pct"/>
            <w:gridSpan w:val="2"/>
          </w:tcPr>
          <w:p w:rsidR="000842E4" w:rsidRPr="004B0A5C" w:rsidRDefault="000842E4" w:rsidP="000842E4">
            <w:pPr>
              <w:keepNext/>
              <w:keepLines/>
              <w:spacing w:before="40" w:after="0" w:line="240" w:lineRule="auto"/>
              <w:ind w:left="175" w:hanging="283"/>
              <w:outlineLvl w:val="1"/>
            </w:pPr>
          </w:p>
        </w:tc>
        <w:tc>
          <w:tcPr>
            <w:tcW w:w="165" w:type="pct"/>
            <w:shd w:val="clear" w:color="auto" w:fill="auto"/>
            <w:vAlign w:val="center"/>
          </w:tcPr>
          <w:p w:rsidR="000842E4" w:rsidRPr="00CB03AF" w:rsidRDefault="00086A68" w:rsidP="000842E4">
            <w:pPr>
              <w:keepNext/>
              <w:keepLines/>
              <w:spacing w:before="40" w:after="0" w:line="240" w:lineRule="auto"/>
              <w:ind w:left="175" w:hanging="283"/>
              <w:jc w:val="center"/>
              <w:outlineLvl w:val="1"/>
              <w:rPr>
                <w:b/>
                <w:sz w:val="24"/>
              </w:rPr>
            </w:pPr>
            <w:r w:rsidRPr="009E4AF9">
              <w:rPr>
                <w:b/>
                <w:sz w:val="24"/>
              </w:rPr>
              <w:t>R</w:t>
            </w:r>
          </w:p>
        </w:tc>
        <w:tc>
          <w:tcPr>
            <w:tcW w:w="164" w:type="pct"/>
            <w:vAlign w:val="center"/>
          </w:tcPr>
          <w:p w:rsidR="000842E4" w:rsidRPr="00CB03AF" w:rsidRDefault="000842E4" w:rsidP="000842E4">
            <w:pPr>
              <w:keepNext/>
              <w:keepLines/>
              <w:spacing w:before="40" w:after="0" w:line="240" w:lineRule="auto"/>
              <w:ind w:left="175" w:hanging="283"/>
              <w:jc w:val="center"/>
              <w:outlineLvl w:val="1"/>
              <w:rPr>
                <w:b/>
                <w:i/>
                <w:color w:val="FF0000"/>
                <w:sz w:val="24"/>
                <w:szCs w:val="24"/>
              </w:rPr>
            </w:pPr>
          </w:p>
        </w:tc>
        <w:tc>
          <w:tcPr>
            <w:tcW w:w="925" w:type="pct"/>
            <w:vMerge/>
          </w:tcPr>
          <w:p w:rsidR="000842E4" w:rsidRPr="00D73C10" w:rsidRDefault="000842E4" w:rsidP="000842E4">
            <w:pPr>
              <w:keepNext/>
              <w:keepLines/>
              <w:spacing w:before="40" w:after="0" w:line="240" w:lineRule="auto"/>
              <w:ind w:left="175" w:hanging="283"/>
              <w:outlineLvl w:val="1"/>
              <w:rPr>
                <w:i/>
                <w:color w:val="FF0000"/>
              </w:rPr>
            </w:pPr>
          </w:p>
        </w:tc>
      </w:tr>
      <w:tr w:rsidR="002E78D7" w:rsidRPr="00501685" w:rsidTr="00BE6646">
        <w:trPr>
          <w:trHeight w:val="949"/>
          <w:jc w:val="center"/>
        </w:trPr>
        <w:tc>
          <w:tcPr>
            <w:tcW w:w="166" w:type="pct"/>
            <w:vMerge/>
          </w:tcPr>
          <w:p w:rsidR="000842E4" w:rsidRDefault="000842E4" w:rsidP="000842E4">
            <w:pPr>
              <w:keepNext/>
              <w:keepLines/>
              <w:spacing w:before="40" w:after="0" w:line="240" w:lineRule="auto"/>
              <w:ind w:left="-77"/>
              <w:outlineLvl w:val="1"/>
              <w:rPr>
                <w:rFonts w:ascii="Calibri Light" w:hAnsi="Calibri Light"/>
                <w:b/>
              </w:rPr>
            </w:pPr>
          </w:p>
        </w:tc>
        <w:tc>
          <w:tcPr>
            <w:tcW w:w="901" w:type="pct"/>
            <w:vMerge/>
          </w:tcPr>
          <w:p w:rsidR="000842E4" w:rsidRDefault="000842E4" w:rsidP="000842E4">
            <w:pPr>
              <w:widowControl w:val="0"/>
              <w:autoSpaceDE w:val="0"/>
              <w:autoSpaceDN w:val="0"/>
              <w:adjustRightInd w:val="0"/>
              <w:rPr>
                <w:rFonts w:cs="Helvetica"/>
                <w:bCs/>
                <w:szCs w:val="29"/>
              </w:rPr>
            </w:pPr>
          </w:p>
        </w:tc>
        <w:tc>
          <w:tcPr>
            <w:tcW w:w="1447" w:type="pct"/>
          </w:tcPr>
          <w:p w:rsidR="000842E4" w:rsidRPr="00B21CC0" w:rsidRDefault="00E65A37" w:rsidP="000842E4">
            <w:pPr>
              <w:pStyle w:val="ListParagraph"/>
              <w:keepNext/>
              <w:keepLines/>
              <w:numPr>
                <w:ilvl w:val="0"/>
                <w:numId w:val="9"/>
              </w:numPr>
              <w:spacing w:before="40" w:after="0" w:line="240" w:lineRule="auto"/>
              <w:ind w:left="175" w:hanging="283"/>
              <w:outlineLvl w:val="1"/>
            </w:pPr>
            <w:r>
              <w:t>A</w:t>
            </w:r>
            <w:r w:rsidR="000842E4" w:rsidRPr="007B41AA">
              <w:t>nnual calendar of campaign priorities which will be delivered using a multi-agency approach</w:t>
            </w:r>
          </w:p>
        </w:tc>
        <w:tc>
          <w:tcPr>
            <w:tcW w:w="734" w:type="pct"/>
          </w:tcPr>
          <w:p w:rsidR="000842E4" w:rsidRDefault="00E65A37" w:rsidP="000842E4">
            <w:pPr>
              <w:keepNext/>
              <w:keepLines/>
              <w:spacing w:before="40" w:after="0" w:line="240" w:lineRule="auto"/>
              <w:outlineLvl w:val="1"/>
            </w:pPr>
            <w:r>
              <w:t>Board Manager/TLI subgroup</w:t>
            </w:r>
          </w:p>
        </w:tc>
        <w:tc>
          <w:tcPr>
            <w:tcW w:w="497" w:type="pct"/>
            <w:gridSpan w:val="2"/>
          </w:tcPr>
          <w:p w:rsidR="000842E4" w:rsidRPr="004B0A5C" w:rsidRDefault="000842E4" w:rsidP="000842E4">
            <w:pPr>
              <w:keepNext/>
              <w:keepLines/>
              <w:spacing w:before="40" w:after="0" w:line="240" w:lineRule="auto"/>
              <w:ind w:left="175" w:hanging="283"/>
              <w:outlineLvl w:val="1"/>
            </w:pPr>
          </w:p>
        </w:tc>
        <w:tc>
          <w:tcPr>
            <w:tcW w:w="165" w:type="pct"/>
            <w:shd w:val="clear" w:color="auto" w:fill="auto"/>
            <w:vAlign w:val="center"/>
          </w:tcPr>
          <w:p w:rsidR="000842E4" w:rsidRPr="00CB03AF" w:rsidRDefault="000842E4" w:rsidP="000842E4">
            <w:pPr>
              <w:keepNext/>
              <w:keepLines/>
              <w:spacing w:before="40" w:after="0" w:line="240" w:lineRule="auto"/>
              <w:ind w:left="175" w:hanging="283"/>
              <w:jc w:val="center"/>
              <w:outlineLvl w:val="1"/>
              <w:rPr>
                <w:b/>
                <w:sz w:val="24"/>
              </w:rPr>
            </w:pPr>
          </w:p>
        </w:tc>
        <w:tc>
          <w:tcPr>
            <w:tcW w:w="164" w:type="pct"/>
            <w:vAlign w:val="center"/>
          </w:tcPr>
          <w:p w:rsidR="000842E4" w:rsidRPr="00CB03AF" w:rsidRDefault="000842E4" w:rsidP="000842E4">
            <w:pPr>
              <w:keepNext/>
              <w:keepLines/>
              <w:spacing w:before="40" w:after="0" w:line="240" w:lineRule="auto"/>
              <w:ind w:left="175" w:hanging="283"/>
              <w:jc w:val="center"/>
              <w:outlineLvl w:val="1"/>
              <w:rPr>
                <w:b/>
                <w:i/>
                <w:color w:val="FF0000"/>
                <w:sz w:val="24"/>
                <w:szCs w:val="24"/>
              </w:rPr>
            </w:pPr>
          </w:p>
        </w:tc>
        <w:tc>
          <w:tcPr>
            <w:tcW w:w="925" w:type="pct"/>
            <w:vMerge/>
          </w:tcPr>
          <w:p w:rsidR="000842E4" w:rsidRPr="00D73C10" w:rsidRDefault="000842E4" w:rsidP="000842E4">
            <w:pPr>
              <w:keepNext/>
              <w:keepLines/>
              <w:spacing w:before="40" w:after="0" w:line="240" w:lineRule="auto"/>
              <w:ind w:left="175" w:hanging="283"/>
              <w:outlineLvl w:val="1"/>
              <w:rPr>
                <w:i/>
                <w:color w:val="FF0000"/>
              </w:rPr>
            </w:pPr>
          </w:p>
        </w:tc>
      </w:tr>
      <w:tr w:rsidR="000842E4" w:rsidRPr="00501685" w:rsidTr="00BE6646">
        <w:trPr>
          <w:trHeight w:val="550"/>
          <w:jc w:val="center"/>
        </w:trPr>
        <w:tc>
          <w:tcPr>
            <w:tcW w:w="166" w:type="pct"/>
            <w:vMerge w:val="restart"/>
          </w:tcPr>
          <w:p w:rsidR="000842E4" w:rsidRDefault="000842E4" w:rsidP="000842E4">
            <w:pPr>
              <w:keepNext/>
              <w:keepLines/>
              <w:spacing w:before="40" w:after="0" w:line="240" w:lineRule="auto"/>
              <w:ind w:left="-77"/>
              <w:outlineLvl w:val="1"/>
              <w:rPr>
                <w:rFonts w:ascii="Calibri Light" w:hAnsi="Calibri Light"/>
                <w:b/>
              </w:rPr>
            </w:pPr>
            <w:r>
              <w:rPr>
                <w:rFonts w:ascii="Calibri Light" w:hAnsi="Calibri Light"/>
                <w:b/>
              </w:rPr>
              <w:t>4.4</w:t>
            </w:r>
          </w:p>
        </w:tc>
        <w:tc>
          <w:tcPr>
            <w:tcW w:w="901" w:type="pct"/>
            <w:vMerge w:val="restart"/>
          </w:tcPr>
          <w:p w:rsidR="000842E4" w:rsidRDefault="00E65A37" w:rsidP="000842E4">
            <w:pPr>
              <w:widowControl w:val="0"/>
              <w:autoSpaceDE w:val="0"/>
              <w:autoSpaceDN w:val="0"/>
              <w:adjustRightInd w:val="0"/>
              <w:rPr>
                <w:rFonts w:cs="Helvetica"/>
                <w:bCs/>
                <w:szCs w:val="29"/>
              </w:rPr>
            </w:pPr>
            <w:r>
              <w:rPr>
                <w:rFonts w:cs="Helvetica"/>
                <w:bCs/>
                <w:szCs w:val="29"/>
              </w:rPr>
              <w:t xml:space="preserve">A shared </w:t>
            </w:r>
            <w:r w:rsidR="000842E4">
              <w:rPr>
                <w:rFonts w:cs="Helvetica"/>
                <w:bCs/>
                <w:szCs w:val="29"/>
              </w:rPr>
              <w:t xml:space="preserve">view about the Board’s financial requirements, and 2019/20 budget for Board administration and management agreed in principle </w:t>
            </w:r>
          </w:p>
        </w:tc>
        <w:tc>
          <w:tcPr>
            <w:tcW w:w="2844" w:type="pct"/>
            <w:gridSpan w:val="5"/>
            <w:vAlign w:val="center"/>
          </w:tcPr>
          <w:p w:rsidR="000842E4" w:rsidRPr="004B0A5C" w:rsidRDefault="000842E4" w:rsidP="000842E4">
            <w:pPr>
              <w:spacing w:after="0" w:line="240" w:lineRule="auto"/>
              <w:jc w:val="center"/>
            </w:pPr>
            <w:r>
              <w:t>In collaboration with NCSCB:</w:t>
            </w:r>
          </w:p>
        </w:tc>
        <w:tc>
          <w:tcPr>
            <w:tcW w:w="164" w:type="pct"/>
            <w:vAlign w:val="center"/>
          </w:tcPr>
          <w:p w:rsidR="000842E4" w:rsidRPr="00CB03AF" w:rsidRDefault="000842E4" w:rsidP="000842E4">
            <w:pPr>
              <w:keepNext/>
              <w:keepLines/>
              <w:spacing w:before="40" w:after="0" w:line="240" w:lineRule="auto"/>
              <w:jc w:val="center"/>
              <w:outlineLvl w:val="1"/>
              <w:rPr>
                <w:b/>
                <w:i/>
                <w:sz w:val="24"/>
                <w:szCs w:val="24"/>
              </w:rPr>
            </w:pPr>
          </w:p>
        </w:tc>
        <w:tc>
          <w:tcPr>
            <w:tcW w:w="925" w:type="pct"/>
          </w:tcPr>
          <w:p w:rsidR="000842E4" w:rsidRDefault="000842E4" w:rsidP="000842E4">
            <w:pPr>
              <w:keepNext/>
              <w:keepLines/>
              <w:spacing w:before="40" w:after="0" w:line="240" w:lineRule="auto"/>
              <w:outlineLvl w:val="1"/>
              <w:rPr>
                <w:i/>
              </w:rPr>
            </w:pPr>
          </w:p>
        </w:tc>
      </w:tr>
      <w:tr w:rsidR="002E78D7" w:rsidRPr="00501685" w:rsidTr="00BE6646">
        <w:trPr>
          <w:trHeight w:val="865"/>
          <w:jc w:val="center"/>
        </w:trPr>
        <w:tc>
          <w:tcPr>
            <w:tcW w:w="166" w:type="pct"/>
            <w:vMerge/>
          </w:tcPr>
          <w:p w:rsidR="000842E4" w:rsidRDefault="000842E4" w:rsidP="000842E4">
            <w:pPr>
              <w:keepNext/>
              <w:keepLines/>
              <w:spacing w:before="40" w:after="0" w:line="240" w:lineRule="auto"/>
              <w:ind w:left="-77"/>
              <w:outlineLvl w:val="1"/>
              <w:rPr>
                <w:rFonts w:ascii="Calibri Light" w:hAnsi="Calibri Light"/>
                <w:b/>
              </w:rPr>
            </w:pPr>
          </w:p>
        </w:tc>
        <w:tc>
          <w:tcPr>
            <w:tcW w:w="901" w:type="pct"/>
            <w:vMerge/>
          </w:tcPr>
          <w:p w:rsidR="000842E4" w:rsidRDefault="000842E4" w:rsidP="000842E4">
            <w:pPr>
              <w:widowControl w:val="0"/>
              <w:autoSpaceDE w:val="0"/>
              <w:autoSpaceDN w:val="0"/>
              <w:adjustRightInd w:val="0"/>
              <w:rPr>
                <w:rFonts w:cs="Helvetica"/>
                <w:bCs/>
                <w:szCs w:val="29"/>
              </w:rPr>
            </w:pPr>
          </w:p>
        </w:tc>
        <w:tc>
          <w:tcPr>
            <w:tcW w:w="1447" w:type="pct"/>
          </w:tcPr>
          <w:p w:rsidR="000842E4" w:rsidRDefault="000842E4" w:rsidP="000842E4">
            <w:pPr>
              <w:pStyle w:val="ListParagraph"/>
              <w:keepNext/>
              <w:keepLines/>
              <w:numPr>
                <w:ilvl w:val="0"/>
                <w:numId w:val="20"/>
              </w:numPr>
              <w:spacing w:before="40" w:after="0" w:line="240" w:lineRule="auto"/>
              <w:outlineLvl w:val="1"/>
            </w:pPr>
            <w:r>
              <w:t>Ide</w:t>
            </w:r>
            <w:r w:rsidR="00785407">
              <w:t xml:space="preserve">ntify budget needs and options </w:t>
            </w:r>
            <w:r>
              <w:t>for 2019/20</w:t>
            </w:r>
          </w:p>
          <w:p w:rsidR="000842E4" w:rsidRDefault="000842E4" w:rsidP="000842E4">
            <w:pPr>
              <w:spacing w:after="0" w:line="240" w:lineRule="auto"/>
            </w:pPr>
          </w:p>
        </w:tc>
        <w:tc>
          <w:tcPr>
            <w:tcW w:w="734" w:type="pct"/>
          </w:tcPr>
          <w:p w:rsidR="000842E4" w:rsidRDefault="000842E4" w:rsidP="000842E4">
            <w:pPr>
              <w:keepNext/>
              <w:keepLines/>
              <w:spacing w:before="40" w:after="0" w:line="240" w:lineRule="auto"/>
              <w:outlineLvl w:val="1"/>
            </w:pPr>
            <w:r w:rsidRPr="00854971">
              <w:t>Funding Partners/</w:t>
            </w:r>
            <w:r w:rsidR="002E78D7">
              <w:t xml:space="preserve"> Independent Chair /</w:t>
            </w:r>
            <w:r>
              <w:t>Board Manager</w:t>
            </w:r>
          </w:p>
        </w:tc>
        <w:tc>
          <w:tcPr>
            <w:tcW w:w="497" w:type="pct"/>
            <w:gridSpan w:val="2"/>
          </w:tcPr>
          <w:p w:rsidR="000842E4" w:rsidRPr="004B0A5C" w:rsidRDefault="000842E4" w:rsidP="000842E4">
            <w:pPr>
              <w:keepNext/>
              <w:keepLines/>
              <w:spacing w:before="40" w:after="0" w:line="240" w:lineRule="auto"/>
              <w:ind w:left="175" w:hanging="283"/>
              <w:outlineLvl w:val="1"/>
            </w:pPr>
          </w:p>
        </w:tc>
        <w:tc>
          <w:tcPr>
            <w:tcW w:w="165" w:type="pct"/>
            <w:shd w:val="clear" w:color="auto" w:fill="auto"/>
            <w:vAlign w:val="center"/>
          </w:tcPr>
          <w:p w:rsidR="000842E4" w:rsidRPr="008B2BA6" w:rsidRDefault="009F2683" w:rsidP="000842E4">
            <w:pPr>
              <w:keepNext/>
              <w:keepLines/>
              <w:spacing w:before="40" w:after="0" w:line="240" w:lineRule="auto"/>
              <w:ind w:left="175" w:hanging="283"/>
              <w:jc w:val="center"/>
              <w:outlineLvl w:val="1"/>
              <w:rPr>
                <w:b/>
              </w:rPr>
            </w:pPr>
            <w:r>
              <w:rPr>
                <w:b/>
              </w:rPr>
              <w:t>B</w:t>
            </w:r>
          </w:p>
        </w:tc>
        <w:tc>
          <w:tcPr>
            <w:tcW w:w="164" w:type="pct"/>
            <w:vAlign w:val="center"/>
          </w:tcPr>
          <w:p w:rsidR="000842E4" w:rsidRPr="00CB03AF" w:rsidRDefault="000842E4" w:rsidP="000842E4">
            <w:pPr>
              <w:keepNext/>
              <w:keepLines/>
              <w:spacing w:before="40" w:after="0" w:line="240" w:lineRule="auto"/>
              <w:ind w:left="175" w:hanging="283"/>
              <w:jc w:val="center"/>
              <w:outlineLvl w:val="1"/>
              <w:rPr>
                <w:b/>
                <w:i/>
                <w:sz w:val="24"/>
                <w:szCs w:val="24"/>
              </w:rPr>
            </w:pPr>
          </w:p>
        </w:tc>
        <w:tc>
          <w:tcPr>
            <w:tcW w:w="925" w:type="pct"/>
            <w:vMerge w:val="restart"/>
          </w:tcPr>
          <w:p w:rsidR="000842E4" w:rsidRPr="00CB03AF" w:rsidRDefault="000842E4" w:rsidP="000842E4">
            <w:pPr>
              <w:pStyle w:val="Header"/>
              <w:keepNext/>
              <w:keepLines/>
              <w:tabs>
                <w:tab w:val="clear" w:pos="4513"/>
                <w:tab w:val="clear" w:pos="9026"/>
              </w:tabs>
              <w:spacing w:before="40"/>
              <w:outlineLvl w:val="1"/>
            </w:pPr>
          </w:p>
        </w:tc>
      </w:tr>
      <w:tr w:rsidR="002E78D7" w:rsidRPr="00501685" w:rsidTr="00BE6646">
        <w:trPr>
          <w:trHeight w:val="865"/>
          <w:jc w:val="center"/>
        </w:trPr>
        <w:tc>
          <w:tcPr>
            <w:tcW w:w="166" w:type="pct"/>
            <w:vMerge/>
          </w:tcPr>
          <w:p w:rsidR="000842E4" w:rsidRDefault="000842E4" w:rsidP="000842E4">
            <w:pPr>
              <w:keepNext/>
              <w:keepLines/>
              <w:spacing w:before="40" w:after="0" w:line="240" w:lineRule="auto"/>
              <w:ind w:left="-77"/>
              <w:outlineLvl w:val="1"/>
              <w:rPr>
                <w:rFonts w:ascii="Calibri Light" w:hAnsi="Calibri Light"/>
                <w:b/>
              </w:rPr>
            </w:pPr>
          </w:p>
        </w:tc>
        <w:tc>
          <w:tcPr>
            <w:tcW w:w="901" w:type="pct"/>
            <w:vMerge/>
          </w:tcPr>
          <w:p w:rsidR="000842E4" w:rsidRDefault="000842E4" w:rsidP="000842E4">
            <w:pPr>
              <w:widowControl w:val="0"/>
              <w:autoSpaceDE w:val="0"/>
              <w:autoSpaceDN w:val="0"/>
              <w:adjustRightInd w:val="0"/>
              <w:rPr>
                <w:rFonts w:cs="Helvetica"/>
                <w:bCs/>
                <w:szCs w:val="29"/>
              </w:rPr>
            </w:pPr>
          </w:p>
        </w:tc>
        <w:tc>
          <w:tcPr>
            <w:tcW w:w="1447" w:type="pct"/>
          </w:tcPr>
          <w:p w:rsidR="000842E4" w:rsidRDefault="000842E4" w:rsidP="000842E4">
            <w:pPr>
              <w:pStyle w:val="ListParagraph"/>
              <w:keepNext/>
              <w:keepLines/>
              <w:numPr>
                <w:ilvl w:val="0"/>
                <w:numId w:val="20"/>
              </w:numPr>
              <w:spacing w:before="40" w:after="0" w:line="240" w:lineRule="auto"/>
              <w:outlineLvl w:val="1"/>
            </w:pPr>
            <w:r w:rsidRPr="007B41AA">
              <w:t>Confirm partner contributions for 2019</w:t>
            </w:r>
            <w:r>
              <w:t>/20</w:t>
            </w:r>
            <w:r w:rsidRPr="007B41AA">
              <w:t xml:space="preserve"> budget</w:t>
            </w:r>
          </w:p>
        </w:tc>
        <w:tc>
          <w:tcPr>
            <w:tcW w:w="734" w:type="pct"/>
          </w:tcPr>
          <w:p w:rsidR="000842E4" w:rsidRDefault="002E78D7" w:rsidP="000842E4">
            <w:pPr>
              <w:pStyle w:val="Header"/>
              <w:keepNext/>
              <w:keepLines/>
              <w:tabs>
                <w:tab w:val="clear" w:pos="4513"/>
                <w:tab w:val="clear" w:pos="9026"/>
              </w:tabs>
              <w:spacing w:before="40"/>
              <w:outlineLvl w:val="1"/>
            </w:pPr>
            <w:r>
              <w:t>Funding partners/</w:t>
            </w:r>
            <w:r w:rsidR="000842E4">
              <w:t xml:space="preserve">Independent Chair / Board Manager </w:t>
            </w:r>
          </w:p>
        </w:tc>
        <w:tc>
          <w:tcPr>
            <w:tcW w:w="497" w:type="pct"/>
            <w:gridSpan w:val="2"/>
          </w:tcPr>
          <w:p w:rsidR="000842E4" w:rsidRPr="004B0A5C" w:rsidRDefault="000842E4" w:rsidP="000842E4">
            <w:pPr>
              <w:keepNext/>
              <w:keepLines/>
              <w:spacing w:before="40" w:after="0" w:line="240" w:lineRule="auto"/>
              <w:ind w:left="175" w:hanging="283"/>
              <w:outlineLvl w:val="1"/>
            </w:pPr>
          </w:p>
        </w:tc>
        <w:tc>
          <w:tcPr>
            <w:tcW w:w="165" w:type="pct"/>
            <w:shd w:val="clear" w:color="auto" w:fill="auto"/>
            <w:vAlign w:val="center"/>
          </w:tcPr>
          <w:p w:rsidR="000842E4" w:rsidRPr="008B2BA6" w:rsidRDefault="009F2683" w:rsidP="000842E4">
            <w:pPr>
              <w:keepNext/>
              <w:keepLines/>
              <w:spacing w:before="40" w:after="0" w:line="240" w:lineRule="auto"/>
              <w:ind w:left="175" w:hanging="283"/>
              <w:jc w:val="center"/>
              <w:outlineLvl w:val="1"/>
              <w:rPr>
                <w:b/>
              </w:rPr>
            </w:pPr>
            <w:r>
              <w:rPr>
                <w:b/>
              </w:rPr>
              <w:t>B</w:t>
            </w:r>
          </w:p>
        </w:tc>
        <w:tc>
          <w:tcPr>
            <w:tcW w:w="164" w:type="pct"/>
            <w:vAlign w:val="center"/>
          </w:tcPr>
          <w:p w:rsidR="000842E4" w:rsidRPr="00CB03AF" w:rsidRDefault="000842E4" w:rsidP="000842E4">
            <w:pPr>
              <w:keepNext/>
              <w:keepLines/>
              <w:spacing w:before="40" w:after="0" w:line="240" w:lineRule="auto"/>
              <w:ind w:left="175" w:hanging="283"/>
              <w:jc w:val="center"/>
              <w:outlineLvl w:val="1"/>
              <w:rPr>
                <w:b/>
                <w:i/>
                <w:sz w:val="24"/>
                <w:szCs w:val="24"/>
              </w:rPr>
            </w:pPr>
          </w:p>
        </w:tc>
        <w:tc>
          <w:tcPr>
            <w:tcW w:w="925" w:type="pct"/>
            <w:vMerge/>
          </w:tcPr>
          <w:p w:rsidR="000842E4" w:rsidRDefault="000842E4" w:rsidP="000842E4">
            <w:pPr>
              <w:keepNext/>
              <w:keepLines/>
              <w:spacing w:before="40" w:after="0" w:line="240" w:lineRule="auto"/>
              <w:ind w:left="175" w:hanging="283"/>
              <w:outlineLvl w:val="1"/>
              <w:rPr>
                <w:i/>
              </w:rPr>
            </w:pPr>
          </w:p>
        </w:tc>
      </w:tr>
      <w:tr w:rsidR="002E78D7" w:rsidRPr="00501685" w:rsidTr="00BE6646">
        <w:trPr>
          <w:trHeight w:val="1408"/>
          <w:jc w:val="center"/>
        </w:trPr>
        <w:tc>
          <w:tcPr>
            <w:tcW w:w="166" w:type="pct"/>
          </w:tcPr>
          <w:p w:rsidR="000842E4" w:rsidRPr="000842E4" w:rsidRDefault="000842E4" w:rsidP="000842E4">
            <w:pPr>
              <w:keepNext/>
              <w:keepLines/>
              <w:spacing w:before="40" w:after="0" w:line="240" w:lineRule="auto"/>
              <w:ind w:left="-77"/>
              <w:outlineLvl w:val="1"/>
              <w:rPr>
                <w:b/>
                <w:sz w:val="20"/>
                <w:szCs w:val="20"/>
              </w:rPr>
            </w:pPr>
            <w:r>
              <w:rPr>
                <w:b/>
                <w:sz w:val="20"/>
                <w:szCs w:val="20"/>
              </w:rPr>
              <w:t>4.5</w:t>
            </w:r>
          </w:p>
        </w:tc>
        <w:tc>
          <w:tcPr>
            <w:tcW w:w="901" w:type="pct"/>
          </w:tcPr>
          <w:p w:rsidR="000842E4" w:rsidRPr="00D63846" w:rsidRDefault="000842E4" w:rsidP="000842E4">
            <w:pPr>
              <w:widowControl w:val="0"/>
              <w:autoSpaceDE w:val="0"/>
              <w:autoSpaceDN w:val="0"/>
              <w:adjustRightInd w:val="0"/>
              <w:rPr>
                <w:szCs w:val="20"/>
              </w:rPr>
            </w:pPr>
            <w:r w:rsidRPr="00D63846">
              <w:rPr>
                <w:szCs w:val="20"/>
              </w:rPr>
              <w:t>Ensure the Board’s work is aligned with work of other strategic Boards across the City.</w:t>
            </w:r>
          </w:p>
        </w:tc>
        <w:tc>
          <w:tcPr>
            <w:tcW w:w="1447" w:type="pct"/>
          </w:tcPr>
          <w:p w:rsidR="000842E4" w:rsidRPr="00D63846" w:rsidRDefault="000842E4" w:rsidP="000842E4">
            <w:pPr>
              <w:pStyle w:val="ListParagraph"/>
              <w:numPr>
                <w:ilvl w:val="0"/>
                <w:numId w:val="24"/>
              </w:numPr>
              <w:spacing w:after="0" w:line="240" w:lineRule="auto"/>
              <w:ind w:left="399" w:hanging="425"/>
              <w:rPr>
                <w:szCs w:val="20"/>
              </w:rPr>
            </w:pPr>
            <w:r w:rsidRPr="00D63846">
              <w:rPr>
                <w:szCs w:val="20"/>
              </w:rPr>
              <w:t>Ensure reporting arrangements for cross cutting themes are embedded.</w:t>
            </w:r>
          </w:p>
          <w:p w:rsidR="000842E4" w:rsidRPr="00D63846" w:rsidRDefault="000842E4" w:rsidP="000842E4">
            <w:pPr>
              <w:pStyle w:val="ListParagraph"/>
              <w:spacing w:after="0" w:line="240" w:lineRule="auto"/>
              <w:ind w:left="399"/>
              <w:rPr>
                <w:szCs w:val="20"/>
              </w:rPr>
            </w:pPr>
            <w:r w:rsidRPr="00D63846">
              <w:rPr>
                <w:szCs w:val="20"/>
              </w:rPr>
              <w:t>To include:</w:t>
            </w:r>
          </w:p>
          <w:p w:rsidR="000842E4" w:rsidRPr="00D63846" w:rsidRDefault="000842E4" w:rsidP="000842E4">
            <w:pPr>
              <w:pStyle w:val="ListParagraph"/>
              <w:numPr>
                <w:ilvl w:val="0"/>
                <w:numId w:val="34"/>
              </w:numPr>
              <w:spacing w:after="0" w:line="240" w:lineRule="auto"/>
              <w:rPr>
                <w:szCs w:val="20"/>
              </w:rPr>
            </w:pPr>
            <w:r w:rsidRPr="00D63846">
              <w:rPr>
                <w:szCs w:val="20"/>
              </w:rPr>
              <w:t>Housing &amp; homelessness</w:t>
            </w:r>
          </w:p>
          <w:p w:rsidR="000842E4" w:rsidRPr="00D63846" w:rsidRDefault="000842E4" w:rsidP="000842E4">
            <w:pPr>
              <w:pStyle w:val="ListParagraph"/>
              <w:numPr>
                <w:ilvl w:val="0"/>
                <w:numId w:val="34"/>
              </w:numPr>
              <w:spacing w:after="0" w:line="240" w:lineRule="auto"/>
              <w:rPr>
                <w:szCs w:val="20"/>
              </w:rPr>
            </w:pPr>
            <w:r w:rsidRPr="00D63846">
              <w:rPr>
                <w:szCs w:val="20"/>
              </w:rPr>
              <w:t>Prevent</w:t>
            </w:r>
          </w:p>
          <w:p w:rsidR="000842E4" w:rsidRPr="00D63846" w:rsidRDefault="000842E4" w:rsidP="000842E4">
            <w:pPr>
              <w:pStyle w:val="ListParagraph"/>
              <w:numPr>
                <w:ilvl w:val="0"/>
                <w:numId w:val="34"/>
              </w:numPr>
              <w:spacing w:after="0" w:line="240" w:lineRule="auto"/>
              <w:rPr>
                <w:szCs w:val="20"/>
              </w:rPr>
            </w:pPr>
            <w:r w:rsidRPr="00D63846">
              <w:rPr>
                <w:szCs w:val="20"/>
              </w:rPr>
              <w:t>Modern Slavery</w:t>
            </w:r>
          </w:p>
          <w:p w:rsidR="000842E4" w:rsidRPr="00D63846" w:rsidRDefault="000842E4" w:rsidP="000842E4">
            <w:pPr>
              <w:pStyle w:val="ListParagraph"/>
              <w:numPr>
                <w:ilvl w:val="0"/>
                <w:numId w:val="34"/>
              </w:numPr>
              <w:spacing w:after="0" w:line="240" w:lineRule="auto"/>
              <w:rPr>
                <w:szCs w:val="20"/>
              </w:rPr>
            </w:pPr>
            <w:r w:rsidRPr="00D63846">
              <w:rPr>
                <w:szCs w:val="20"/>
              </w:rPr>
              <w:t>FGM</w:t>
            </w:r>
          </w:p>
          <w:p w:rsidR="000842E4" w:rsidRPr="00D63846" w:rsidRDefault="000842E4" w:rsidP="000842E4">
            <w:pPr>
              <w:pStyle w:val="ListParagraph"/>
              <w:numPr>
                <w:ilvl w:val="0"/>
                <w:numId w:val="34"/>
              </w:numPr>
              <w:spacing w:after="0" w:line="240" w:lineRule="auto"/>
              <w:rPr>
                <w:szCs w:val="20"/>
              </w:rPr>
            </w:pPr>
            <w:r w:rsidRPr="00D63846">
              <w:rPr>
                <w:szCs w:val="20"/>
              </w:rPr>
              <w:t>DSVA</w:t>
            </w:r>
          </w:p>
          <w:p w:rsidR="000842E4" w:rsidRPr="00D63846" w:rsidRDefault="000842E4" w:rsidP="000842E4">
            <w:pPr>
              <w:pStyle w:val="ListParagraph"/>
              <w:numPr>
                <w:ilvl w:val="0"/>
                <w:numId w:val="34"/>
              </w:numPr>
              <w:spacing w:after="0" w:line="240" w:lineRule="auto"/>
              <w:rPr>
                <w:szCs w:val="20"/>
              </w:rPr>
            </w:pPr>
            <w:r w:rsidRPr="00D63846">
              <w:rPr>
                <w:szCs w:val="20"/>
              </w:rPr>
              <w:t>Suicide Prevention</w:t>
            </w:r>
          </w:p>
          <w:p w:rsidR="000842E4" w:rsidRPr="00D63846" w:rsidRDefault="000842E4" w:rsidP="000842E4">
            <w:pPr>
              <w:pStyle w:val="ListParagraph"/>
              <w:numPr>
                <w:ilvl w:val="0"/>
                <w:numId w:val="34"/>
              </w:numPr>
              <w:spacing w:after="0" w:line="240" w:lineRule="auto"/>
              <w:rPr>
                <w:szCs w:val="20"/>
              </w:rPr>
            </w:pPr>
            <w:r w:rsidRPr="00D63846">
              <w:rPr>
                <w:szCs w:val="20"/>
              </w:rPr>
              <w:t xml:space="preserve">Community Protection  </w:t>
            </w:r>
          </w:p>
        </w:tc>
        <w:tc>
          <w:tcPr>
            <w:tcW w:w="734" w:type="pct"/>
          </w:tcPr>
          <w:p w:rsidR="000842E4" w:rsidRDefault="000842E4" w:rsidP="000842E4">
            <w:pPr>
              <w:keepNext/>
              <w:keepLines/>
              <w:spacing w:before="40" w:after="0" w:line="240" w:lineRule="auto"/>
              <w:outlineLvl w:val="1"/>
            </w:pPr>
            <w:r>
              <w:t xml:space="preserve">Independent Chair &amp; Board Manager </w:t>
            </w:r>
          </w:p>
        </w:tc>
        <w:tc>
          <w:tcPr>
            <w:tcW w:w="497" w:type="pct"/>
            <w:gridSpan w:val="2"/>
          </w:tcPr>
          <w:p w:rsidR="000842E4" w:rsidRDefault="000842E4" w:rsidP="000842E4">
            <w:pPr>
              <w:keepNext/>
              <w:keepLines/>
              <w:spacing w:before="40" w:after="0" w:line="240" w:lineRule="auto"/>
              <w:ind w:left="175" w:hanging="283"/>
              <w:outlineLvl w:val="1"/>
            </w:pPr>
            <w:r>
              <w:t>Continuing</w:t>
            </w:r>
          </w:p>
        </w:tc>
        <w:tc>
          <w:tcPr>
            <w:tcW w:w="165" w:type="pct"/>
            <w:vAlign w:val="center"/>
          </w:tcPr>
          <w:p w:rsidR="000842E4" w:rsidRPr="00CB03AF" w:rsidRDefault="00F04798" w:rsidP="000842E4">
            <w:pPr>
              <w:keepNext/>
              <w:keepLines/>
              <w:spacing w:before="40" w:after="0" w:line="240" w:lineRule="auto"/>
              <w:ind w:left="175" w:hanging="283"/>
              <w:jc w:val="center"/>
              <w:outlineLvl w:val="1"/>
              <w:rPr>
                <w:b/>
                <w:sz w:val="24"/>
              </w:rPr>
            </w:pPr>
            <w:r w:rsidRPr="009E4AF9">
              <w:rPr>
                <w:b/>
                <w:sz w:val="24"/>
              </w:rPr>
              <w:t>A</w:t>
            </w:r>
          </w:p>
        </w:tc>
        <w:tc>
          <w:tcPr>
            <w:tcW w:w="164" w:type="pct"/>
            <w:vAlign w:val="center"/>
          </w:tcPr>
          <w:p w:rsidR="000842E4" w:rsidRPr="00CB03AF" w:rsidRDefault="000842E4" w:rsidP="000842E4">
            <w:pPr>
              <w:keepNext/>
              <w:keepLines/>
              <w:spacing w:before="40" w:after="0" w:line="240" w:lineRule="auto"/>
              <w:ind w:left="175" w:hanging="283"/>
              <w:jc w:val="center"/>
              <w:outlineLvl w:val="1"/>
              <w:rPr>
                <w:b/>
                <w:sz w:val="24"/>
                <w:szCs w:val="24"/>
              </w:rPr>
            </w:pPr>
          </w:p>
        </w:tc>
        <w:tc>
          <w:tcPr>
            <w:tcW w:w="925" w:type="pct"/>
          </w:tcPr>
          <w:p w:rsidR="000842E4" w:rsidRPr="00F04798" w:rsidRDefault="007E4090" w:rsidP="000842E4">
            <w:pPr>
              <w:keepNext/>
              <w:keepLines/>
              <w:spacing w:before="40" w:after="0" w:line="240" w:lineRule="auto"/>
              <w:ind w:left="175" w:hanging="283"/>
              <w:outlineLvl w:val="1"/>
              <w:rPr>
                <w:i/>
              </w:rPr>
            </w:pPr>
            <w:r>
              <w:rPr>
                <w:i/>
              </w:rPr>
              <w:t>Process in place for assurance r</w:t>
            </w:r>
            <w:r w:rsidR="00F04798" w:rsidRPr="00F04798">
              <w:rPr>
                <w:i/>
              </w:rPr>
              <w:t xml:space="preserve">eports </w:t>
            </w:r>
            <w:r>
              <w:rPr>
                <w:i/>
              </w:rPr>
              <w:t xml:space="preserve">to be </w:t>
            </w:r>
            <w:r w:rsidR="00F04798" w:rsidRPr="00F04798">
              <w:rPr>
                <w:i/>
              </w:rPr>
              <w:t>received on these themes; liaison with relevant officers diminished with absence of Board Manager</w:t>
            </w:r>
          </w:p>
        </w:tc>
      </w:tr>
      <w:tr w:rsidR="002E78D7" w:rsidRPr="00501685" w:rsidTr="00BE6646">
        <w:trPr>
          <w:trHeight w:val="524"/>
          <w:jc w:val="center"/>
        </w:trPr>
        <w:tc>
          <w:tcPr>
            <w:tcW w:w="166" w:type="pct"/>
          </w:tcPr>
          <w:p w:rsidR="000842E4" w:rsidRDefault="000842E4" w:rsidP="000842E4">
            <w:pPr>
              <w:keepNext/>
              <w:keepLines/>
              <w:spacing w:before="40" w:after="0" w:line="240" w:lineRule="auto"/>
              <w:ind w:left="-77"/>
              <w:outlineLvl w:val="1"/>
              <w:rPr>
                <w:b/>
                <w:sz w:val="20"/>
                <w:szCs w:val="20"/>
              </w:rPr>
            </w:pPr>
            <w:r>
              <w:rPr>
                <w:b/>
                <w:sz w:val="20"/>
                <w:szCs w:val="20"/>
              </w:rPr>
              <w:lastRenderedPageBreak/>
              <w:t>4.6</w:t>
            </w:r>
          </w:p>
        </w:tc>
        <w:tc>
          <w:tcPr>
            <w:tcW w:w="901" w:type="pct"/>
          </w:tcPr>
          <w:p w:rsidR="000842E4" w:rsidRPr="00D63846" w:rsidRDefault="000842E4" w:rsidP="00E65A37">
            <w:pPr>
              <w:widowControl w:val="0"/>
              <w:autoSpaceDE w:val="0"/>
              <w:autoSpaceDN w:val="0"/>
              <w:adjustRightInd w:val="0"/>
              <w:rPr>
                <w:i/>
              </w:rPr>
            </w:pPr>
            <w:r w:rsidRPr="00D63846">
              <w:rPr>
                <w:szCs w:val="20"/>
              </w:rPr>
              <w:t xml:space="preserve">Multi-agency policy &amp; procedures </w:t>
            </w:r>
            <w:r w:rsidR="00E65A37" w:rsidRPr="00D63846">
              <w:rPr>
                <w:szCs w:val="20"/>
              </w:rPr>
              <w:t>that have taken account of recent learning and developments</w:t>
            </w:r>
          </w:p>
        </w:tc>
        <w:tc>
          <w:tcPr>
            <w:tcW w:w="1447" w:type="pct"/>
          </w:tcPr>
          <w:p w:rsidR="000842E4" w:rsidRPr="00D63846" w:rsidRDefault="000842E4" w:rsidP="000842E4">
            <w:pPr>
              <w:pStyle w:val="ListParagraph"/>
              <w:numPr>
                <w:ilvl w:val="0"/>
                <w:numId w:val="35"/>
              </w:numPr>
              <w:spacing w:after="0" w:line="240" w:lineRule="auto"/>
              <w:rPr>
                <w:szCs w:val="20"/>
              </w:rPr>
            </w:pPr>
            <w:r w:rsidRPr="00D63846">
              <w:rPr>
                <w:szCs w:val="20"/>
              </w:rPr>
              <w:t>Work with NSAB to review multi-agency policy &amp; procedures. To include:</w:t>
            </w:r>
          </w:p>
          <w:p w:rsidR="000842E4" w:rsidRPr="00D63846" w:rsidRDefault="000842E4" w:rsidP="000842E4">
            <w:pPr>
              <w:pStyle w:val="ListParagraph"/>
              <w:numPr>
                <w:ilvl w:val="0"/>
                <w:numId w:val="34"/>
              </w:numPr>
              <w:spacing w:after="0" w:line="240" w:lineRule="auto"/>
              <w:rPr>
                <w:szCs w:val="20"/>
              </w:rPr>
            </w:pPr>
            <w:r w:rsidRPr="00D63846">
              <w:rPr>
                <w:szCs w:val="20"/>
              </w:rPr>
              <w:t>Increased focus on MSP</w:t>
            </w:r>
          </w:p>
          <w:p w:rsidR="000842E4" w:rsidRPr="00D63846" w:rsidRDefault="000842E4" w:rsidP="000842E4">
            <w:pPr>
              <w:pStyle w:val="ListParagraph"/>
              <w:numPr>
                <w:ilvl w:val="0"/>
                <w:numId w:val="34"/>
              </w:numPr>
              <w:spacing w:after="0" w:line="240" w:lineRule="auto"/>
              <w:rPr>
                <w:szCs w:val="20"/>
              </w:rPr>
            </w:pPr>
            <w:r w:rsidRPr="00D63846">
              <w:rPr>
                <w:szCs w:val="20"/>
              </w:rPr>
              <w:t xml:space="preserve">Learning </w:t>
            </w:r>
            <w:r w:rsidR="009322E6" w:rsidRPr="00D63846">
              <w:rPr>
                <w:szCs w:val="20"/>
              </w:rPr>
              <w:t>from IICSA/</w:t>
            </w:r>
            <w:r w:rsidRPr="00D63846">
              <w:rPr>
                <w:szCs w:val="20"/>
              </w:rPr>
              <w:t xml:space="preserve">equinox </w:t>
            </w:r>
          </w:p>
          <w:p w:rsidR="009322E6" w:rsidRPr="00D63846" w:rsidRDefault="009322E6" w:rsidP="000842E4">
            <w:pPr>
              <w:pStyle w:val="ListParagraph"/>
              <w:numPr>
                <w:ilvl w:val="0"/>
                <w:numId w:val="34"/>
              </w:numPr>
              <w:spacing w:after="0" w:line="240" w:lineRule="auto"/>
              <w:rPr>
                <w:szCs w:val="20"/>
              </w:rPr>
            </w:pPr>
            <w:r w:rsidRPr="00D63846">
              <w:rPr>
                <w:szCs w:val="20"/>
              </w:rPr>
              <w:t xml:space="preserve">Strengthened section on self-neglect to include work </w:t>
            </w:r>
            <w:r w:rsidR="002E78D7" w:rsidRPr="00D63846">
              <w:rPr>
                <w:szCs w:val="20"/>
              </w:rPr>
              <w:t>completed by DSVA safeguarding</w:t>
            </w:r>
            <w:r w:rsidRPr="00D63846">
              <w:rPr>
                <w:szCs w:val="20"/>
              </w:rPr>
              <w:t xml:space="preserve"> group on non-engagement</w:t>
            </w:r>
          </w:p>
          <w:p w:rsidR="009322E6" w:rsidRPr="00D63846" w:rsidRDefault="009322E6" w:rsidP="000842E4">
            <w:pPr>
              <w:pStyle w:val="ListParagraph"/>
              <w:numPr>
                <w:ilvl w:val="0"/>
                <w:numId w:val="34"/>
              </w:numPr>
              <w:spacing w:after="0" w:line="240" w:lineRule="auto"/>
              <w:rPr>
                <w:szCs w:val="20"/>
              </w:rPr>
            </w:pPr>
            <w:r w:rsidRPr="00D63846">
              <w:rPr>
                <w:szCs w:val="20"/>
              </w:rPr>
              <w:t>Information sharing agreements/GDPR</w:t>
            </w:r>
          </w:p>
          <w:p w:rsidR="009322E6" w:rsidRPr="00D63846" w:rsidRDefault="009322E6" w:rsidP="009322E6">
            <w:pPr>
              <w:spacing w:after="0" w:line="240" w:lineRule="auto"/>
              <w:rPr>
                <w:szCs w:val="20"/>
              </w:rPr>
            </w:pPr>
          </w:p>
        </w:tc>
        <w:tc>
          <w:tcPr>
            <w:tcW w:w="734" w:type="pct"/>
          </w:tcPr>
          <w:p w:rsidR="000842E4" w:rsidRDefault="00F42215" w:rsidP="007E372B">
            <w:pPr>
              <w:keepNext/>
              <w:keepLines/>
              <w:spacing w:before="40" w:after="0" w:line="240" w:lineRule="auto"/>
              <w:outlineLvl w:val="1"/>
            </w:pPr>
            <w:r>
              <w:t>ASC Hea</w:t>
            </w:r>
            <w:r w:rsidR="007E372B">
              <w:t xml:space="preserve">d of </w:t>
            </w:r>
            <w:r>
              <w:t>Sa</w:t>
            </w:r>
            <w:r w:rsidR="007E372B">
              <w:t xml:space="preserve">feguarding and </w:t>
            </w:r>
            <w:r>
              <w:t xml:space="preserve"> </w:t>
            </w:r>
            <w:r w:rsidR="007E372B">
              <w:t>Quality, Board Manager, BMG</w:t>
            </w:r>
          </w:p>
        </w:tc>
        <w:tc>
          <w:tcPr>
            <w:tcW w:w="497" w:type="pct"/>
            <w:gridSpan w:val="2"/>
          </w:tcPr>
          <w:p w:rsidR="000842E4" w:rsidRDefault="000842E4" w:rsidP="000842E4">
            <w:pPr>
              <w:keepNext/>
              <w:keepLines/>
              <w:spacing w:before="40" w:after="0" w:line="240" w:lineRule="auto"/>
              <w:ind w:left="175" w:hanging="283"/>
              <w:outlineLvl w:val="1"/>
            </w:pPr>
          </w:p>
        </w:tc>
        <w:tc>
          <w:tcPr>
            <w:tcW w:w="165" w:type="pct"/>
            <w:vAlign w:val="center"/>
          </w:tcPr>
          <w:p w:rsidR="000842E4" w:rsidRPr="00CB03AF" w:rsidRDefault="00F04798" w:rsidP="000842E4">
            <w:pPr>
              <w:keepNext/>
              <w:keepLines/>
              <w:spacing w:before="40" w:after="0" w:line="240" w:lineRule="auto"/>
              <w:ind w:left="175" w:hanging="283"/>
              <w:jc w:val="center"/>
              <w:outlineLvl w:val="1"/>
              <w:rPr>
                <w:b/>
                <w:sz w:val="24"/>
              </w:rPr>
            </w:pPr>
            <w:r w:rsidRPr="009E4AF9">
              <w:rPr>
                <w:b/>
                <w:sz w:val="24"/>
              </w:rPr>
              <w:t>A</w:t>
            </w:r>
          </w:p>
        </w:tc>
        <w:tc>
          <w:tcPr>
            <w:tcW w:w="164" w:type="pct"/>
            <w:vAlign w:val="center"/>
          </w:tcPr>
          <w:p w:rsidR="000842E4" w:rsidRPr="00CB03AF" w:rsidRDefault="000842E4" w:rsidP="000842E4">
            <w:pPr>
              <w:keepNext/>
              <w:keepLines/>
              <w:spacing w:before="40" w:after="0" w:line="240" w:lineRule="auto"/>
              <w:ind w:left="175" w:hanging="283"/>
              <w:jc w:val="center"/>
              <w:outlineLvl w:val="1"/>
              <w:rPr>
                <w:b/>
                <w:sz w:val="24"/>
                <w:szCs w:val="24"/>
              </w:rPr>
            </w:pPr>
          </w:p>
        </w:tc>
        <w:tc>
          <w:tcPr>
            <w:tcW w:w="925" w:type="pct"/>
          </w:tcPr>
          <w:p w:rsidR="000842E4" w:rsidRPr="00F04798" w:rsidRDefault="00F04798" w:rsidP="000842E4">
            <w:pPr>
              <w:keepNext/>
              <w:keepLines/>
              <w:spacing w:before="40" w:after="0" w:line="240" w:lineRule="auto"/>
              <w:ind w:left="175" w:hanging="283"/>
              <w:outlineLvl w:val="1"/>
              <w:rPr>
                <w:i/>
              </w:rPr>
            </w:pPr>
            <w:r w:rsidRPr="00F04798">
              <w:rPr>
                <w:i/>
              </w:rPr>
              <w:t>Joint work to revise procedures progressing with the County</w:t>
            </w:r>
            <w:r w:rsidR="00D63846">
              <w:rPr>
                <w:i/>
              </w:rPr>
              <w:t xml:space="preserve"> and timeline for completion and launch in place</w:t>
            </w:r>
            <w:r w:rsidR="007E4090">
              <w:rPr>
                <w:i/>
              </w:rPr>
              <w:t>; separate guidance on self neglect also being developed</w:t>
            </w:r>
          </w:p>
        </w:tc>
      </w:tr>
    </w:tbl>
    <w:p w:rsidR="00DD75CA" w:rsidRDefault="00DD75CA" w:rsidP="002C4EB4"/>
    <w:sectPr w:rsidR="00DD75CA" w:rsidSect="00B20E9D">
      <w:headerReference w:type="even" r:id="rId9"/>
      <w:footerReference w:type="default" r:id="rId10"/>
      <w:headerReference w:type="first" r:id="rId11"/>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9F" w:rsidRDefault="0051119F" w:rsidP="00DD75CA">
      <w:pPr>
        <w:spacing w:after="0" w:line="240" w:lineRule="auto"/>
      </w:pPr>
      <w:r>
        <w:separator/>
      </w:r>
    </w:p>
  </w:endnote>
  <w:endnote w:type="continuationSeparator" w:id="0">
    <w:p w:rsidR="0051119F" w:rsidRDefault="0051119F" w:rsidP="00DD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44213"/>
      <w:docPartObj>
        <w:docPartGallery w:val="Page Numbers (Bottom of Page)"/>
        <w:docPartUnique/>
      </w:docPartObj>
    </w:sdtPr>
    <w:sdtEndPr>
      <w:rPr>
        <w:noProof/>
      </w:rPr>
    </w:sdtEndPr>
    <w:sdtContent>
      <w:p w:rsidR="009E4AF9" w:rsidRDefault="00E72D3F">
        <w:pPr>
          <w:pStyle w:val="Footer"/>
          <w:jc w:val="center"/>
        </w:pPr>
        <w:r>
          <w:fldChar w:fldCharType="begin"/>
        </w:r>
        <w:r>
          <w:instrText xml:space="preserve"> PAGE   \* MERGEFORMAT </w:instrText>
        </w:r>
        <w:r>
          <w:fldChar w:fldCharType="separate"/>
        </w:r>
        <w:r w:rsidR="00074018">
          <w:rPr>
            <w:noProof/>
          </w:rPr>
          <w:t>1</w:t>
        </w:r>
        <w:r>
          <w:rPr>
            <w:noProof/>
          </w:rPr>
          <w:fldChar w:fldCharType="end"/>
        </w:r>
      </w:p>
    </w:sdtContent>
  </w:sdt>
  <w:p w:rsidR="009E4AF9" w:rsidRDefault="009E4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9F" w:rsidRDefault="0051119F" w:rsidP="00DD75CA">
      <w:pPr>
        <w:spacing w:after="0" w:line="240" w:lineRule="auto"/>
      </w:pPr>
      <w:r>
        <w:separator/>
      </w:r>
    </w:p>
  </w:footnote>
  <w:footnote w:type="continuationSeparator" w:id="0">
    <w:p w:rsidR="0051119F" w:rsidRDefault="0051119F" w:rsidP="00DD7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F9" w:rsidRDefault="009E4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F9" w:rsidRDefault="009E4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5AA"/>
    <w:multiLevelType w:val="hybridMultilevel"/>
    <w:tmpl w:val="87125E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F54E4"/>
    <w:multiLevelType w:val="hybridMultilevel"/>
    <w:tmpl w:val="6F2694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D72CA"/>
    <w:multiLevelType w:val="hybridMultilevel"/>
    <w:tmpl w:val="7604DF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A078F3"/>
    <w:multiLevelType w:val="hybridMultilevel"/>
    <w:tmpl w:val="52E44FB4"/>
    <w:lvl w:ilvl="0" w:tplc="A7248BDE">
      <w:start w:val="4"/>
      <w:numFmt w:val="bullet"/>
      <w:lvlText w:val="-"/>
      <w:lvlJc w:val="left"/>
      <w:pPr>
        <w:ind w:left="807" w:hanging="360"/>
      </w:pPr>
      <w:rPr>
        <w:rFonts w:ascii="Calibri" w:eastAsiaTheme="minorHAnsi" w:hAnsi="Calibri" w:cstheme="minorBidi" w:hint="default"/>
      </w:rPr>
    </w:lvl>
    <w:lvl w:ilvl="1" w:tplc="08090003" w:tentative="1">
      <w:start w:val="1"/>
      <w:numFmt w:val="bullet"/>
      <w:lvlText w:val="o"/>
      <w:lvlJc w:val="left"/>
      <w:pPr>
        <w:ind w:left="1527" w:hanging="360"/>
      </w:pPr>
      <w:rPr>
        <w:rFonts w:ascii="Courier New" w:hAnsi="Courier New" w:cs="Symbol"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Symbol"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Symbol" w:hint="default"/>
      </w:rPr>
    </w:lvl>
    <w:lvl w:ilvl="8" w:tplc="08090005" w:tentative="1">
      <w:start w:val="1"/>
      <w:numFmt w:val="bullet"/>
      <w:lvlText w:val=""/>
      <w:lvlJc w:val="left"/>
      <w:pPr>
        <w:ind w:left="6567" w:hanging="360"/>
      </w:pPr>
      <w:rPr>
        <w:rFonts w:ascii="Wingdings" w:hAnsi="Wingdings" w:hint="default"/>
      </w:rPr>
    </w:lvl>
  </w:abstractNum>
  <w:abstractNum w:abstractNumId="4" w15:restartNumberingAfterBreak="0">
    <w:nsid w:val="09E66604"/>
    <w:multiLevelType w:val="hybridMultilevel"/>
    <w:tmpl w:val="25B27AE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06438E"/>
    <w:multiLevelType w:val="hybridMultilevel"/>
    <w:tmpl w:val="9AA2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965281"/>
    <w:multiLevelType w:val="hybridMultilevel"/>
    <w:tmpl w:val="ACEEBC4A"/>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9D071C"/>
    <w:multiLevelType w:val="hybridMultilevel"/>
    <w:tmpl w:val="F9E09B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3023A2"/>
    <w:multiLevelType w:val="hybridMultilevel"/>
    <w:tmpl w:val="6B24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208AD"/>
    <w:multiLevelType w:val="hybridMultilevel"/>
    <w:tmpl w:val="22B6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627990"/>
    <w:multiLevelType w:val="hybridMultilevel"/>
    <w:tmpl w:val="FFCCEBC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71B0C42"/>
    <w:multiLevelType w:val="hybridMultilevel"/>
    <w:tmpl w:val="C77C6C28"/>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12" w15:restartNumberingAfterBreak="0">
    <w:nsid w:val="272919AF"/>
    <w:multiLevelType w:val="hybridMultilevel"/>
    <w:tmpl w:val="B5B69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DF010B"/>
    <w:multiLevelType w:val="hybridMultilevel"/>
    <w:tmpl w:val="6F2694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4C242E"/>
    <w:multiLevelType w:val="hybridMultilevel"/>
    <w:tmpl w:val="307454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5457B0"/>
    <w:multiLevelType w:val="hybridMultilevel"/>
    <w:tmpl w:val="9AA2D22A"/>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43C36"/>
    <w:multiLevelType w:val="hybridMultilevel"/>
    <w:tmpl w:val="307454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9013D"/>
    <w:multiLevelType w:val="hybridMultilevel"/>
    <w:tmpl w:val="6736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77BAB"/>
    <w:multiLevelType w:val="hybridMultilevel"/>
    <w:tmpl w:val="25B27A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F04A3B"/>
    <w:multiLevelType w:val="hybridMultilevel"/>
    <w:tmpl w:val="E29E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E3592"/>
    <w:multiLevelType w:val="hybridMultilevel"/>
    <w:tmpl w:val="29286572"/>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3C653C77"/>
    <w:multiLevelType w:val="hybridMultilevel"/>
    <w:tmpl w:val="C9288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073C64"/>
    <w:multiLevelType w:val="hybridMultilevel"/>
    <w:tmpl w:val="9AA2D22A"/>
    <w:lvl w:ilvl="0" w:tplc="04090001">
      <w:start w:val="1"/>
      <w:numFmt w:val="upp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F4401"/>
    <w:multiLevelType w:val="hybridMultilevel"/>
    <w:tmpl w:val="11006EE2"/>
    <w:lvl w:ilvl="0" w:tplc="FF809A26">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Symbol"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Symbol"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Symbol" w:hint="default"/>
      </w:rPr>
    </w:lvl>
    <w:lvl w:ilvl="8" w:tplc="08090005" w:tentative="1">
      <w:start w:val="1"/>
      <w:numFmt w:val="bullet"/>
      <w:lvlText w:val=""/>
      <w:lvlJc w:val="left"/>
      <w:pPr>
        <w:ind w:left="6168" w:hanging="360"/>
      </w:pPr>
      <w:rPr>
        <w:rFonts w:ascii="Wingdings" w:hAnsi="Wingdings" w:hint="default"/>
      </w:rPr>
    </w:lvl>
  </w:abstractNum>
  <w:abstractNum w:abstractNumId="24" w15:restartNumberingAfterBreak="0">
    <w:nsid w:val="428B00D2"/>
    <w:multiLevelType w:val="hybridMultilevel"/>
    <w:tmpl w:val="9AA2D22A"/>
    <w:lvl w:ilvl="0" w:tplc="04090001">
      <w:start w:val="1"/>
      <w:numFmt w:val="upp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005BD"/>
    <w:multiLevelType w:val="hybridMultilevel"/>
    <w:tmpl w:val="38F6C5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5A16791"/>
    <w:multiLevelType w:val="hybridMultilevel"/>
    <w:tmpl w:val="03E6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7D30"/>
    <w:multiLevelType w:val="multilevel"/>
    <w:tmpl w:val="D456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4C41B1"/>
    <w:multiLevelType w:val="hybridMultilevel"/>
    <w:tmpl w:val="38F6C5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425685D"/>
    <w:multiLevelType w:val="hybridMultilevel"/>
    <w:tmpl w:val="25B27A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CF19DB"/>
    <w:multiLevelType w:val="hybridMultilevel"/>
    <w:tmpl w:val="F56A87A4"/>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7982212"/>
    <w:multiLevelType w:val="hybridMultilevel"/>
    <w:tmpl w:val="A5181F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627F12"/>
    <w:multiLevelType w:val="hybridMultilevel"/>
    <w:tmpl w:val="3B8A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D342FF"/>
    <w:multiLevelType w:val="hybridMultilevel"/>
    <w:tmpl w:val="70B2D7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CB5927"/>
    <w:multiLevelType w:val="hybridMultilevel"/>
    <w:tmpl w:val="C77C6C28"/>
    <w:lvl w:ilvl="0" w:tplc="04090001">
      <w:start w:val="1"/>
      <w:numFmt w:val="lowerLetter"/>
      <w:lvlText w:val="%1."/>
      <w:lvlJc w:val="left"/>
      <w:pPr>
        <w:ind w:left="985" w:hanging="360"/>
      </w:pPr>
    </w:lvl>
    <w:lvl w:ilvl="1" w:tplc="04090003" w:tentative="1">
      <w:start w:val="1"/>
      <w:numFmt w:val="bullet"/>
      <w:lvlText w:val="o"/>
      <w:lvlJc w:val="left"/>
      <w:pPr>
        <w:ind w:left="1705" w:hanging="360"/>
      </w:pPr>
      <w:rPr>
        <w:rFonts w:ascii="Courier New" w:hAnsi="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35" w15:restartNumberingAfterBreak="0">
    <w:nsid w:val="64D20AF2"/>
    <w:multiLevelType w:val="hybridMultilevel"/>
    <w:tmpl w:val="25B27A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052497"/>
    <w:multiLevelType w:val="hybridMultilevel"/>
    <w:tmpl w:val="ACEEBC4A"/>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5D72FF"/>
    <w:multiLevelType w:val="hybridMultilevel"/>
    <w:tmpl w:val="38F6C5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9AF3562"/>
    <w:multiLevelType w:val="hybridMultilevel"/>
    <w:tmpl w:val="A6A203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B3079C"/>
    <w:multiLevelType w:val="hybridMultilevel"/>
    <w:tmpl w:val="1A42DC54"/>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F82E2B"/>
    <w:multiLevelType w:val="hybridMultilevel"/>
    <w:tmpl w:val="05305D32"/>
    <w:lvl w:ilvl="0" w:tplc="E0386536">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6D35F9B"/>
    <w:multiLevelType w:val="hybridMultilevel"/>
    <w:tmpl w:val="9AA2D22A"/>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377360"/>
    <w:multiLevelType w:val="hybridMultilevel"/>
    <w:tmpl w:val="9858F3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43558B"/>
    <w:multiLevelType w:val="hybridMultilevel"/>
    <w:tmpl w:val="1358550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40280D"/>
    <w:multiLevelType w:val="hybridMultilevel"/>
    <w:tmpl w:val="2C6A5E1A"/>
    <w:lvl w:ilvl="0" w:tplc="D04ED95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17"/>
  </w:num>
  <w:num w:numId="3">
    <w:abstractNumId w:val="9"/>
  </w:num>
  <w:num w:numId="4">
    <w:abstractNumId w:val="35"/>
  </w:num>
  <w:num w:numId="5">
    <w:abstractNumId w:val="14"/>
  </w:num>
  <w:num w:numId="6">
    <w:abstractNumId w:val="29"/>
  </w:num>
  <w:num w:numId="7">
    <w:abstractNumId w:val="2"/>
  </w:num>
  <w:num w:numId="8">
    <w:abstractNumId w:val="1"/>
  </w:num>
  <w:num w:numId="9">
    <w:abstractNumId w:val="37"/>
  </w:num>
  <w:num w:numId="10">
    <w:abstractNumId w:val="25"/>
  </w:num>
  <w:num w:numId="11">
    <w:abstractNumId w:val="26"/>
  </w:num>
  <w:num w:numId="12">
    <w:abstractNumId w:val="8"/>
  </w:num>
  <w:num w:numId="13">
    <w:abstractNumId w:val="19"/>
  </w:num>
  <w:num w:numId="14">
    <w:abstractNumId w:val="32"/>
  </w:num>
  <w:num w:numId="15">
    <w:abstractNumId w:val="30"/>
  </w:num>
  <w:num w:numId="16">
    <w:abstractNumId w:val="42"/>
  </w:num>
  <w:num w:numId="17">
    <w:abstractNumId w:val="16"/>
  </w:num>
  <w:num w:numId="18">
    <w:abstractNumId w:val="18"/>
  </w:num>
  <w:num w:numId="19">
    <w:abstractNumId w:val="13"/>
  </w:num>
  <w:num w:numId="20">
    <w:abstractNumId w:val="28"/>
  </w:num>
  <w:num w:numId="21">
    <w:abstractNumId w:val="20"/>
  </w:num>
  <w:num w:numId="22">
    <w:abstractNumId w:val="31"/>
  </w:num>
  <w:num w:numId="23">
    <w:abstractNumId w:val="36"/>
  </w:num>
  <w:num w:numId="24">
    <w:abstractNumId w:val="6"/>
  </w:num>
  <w:num w:numId="25">
    <w:abstractNumId w:val="40"/>
  </w:num>
  <w:num w:numId="26">
    <w:abstractNumId w:val="0"/>
  </w:num>
  <w:num w:numId="27">
    <w:abstractNumId w:val="33"/>
  </w:num>
  <w:num w:numId="28">
    <w:abstractNumId w:val="4"/>
  </w:num>
  <w:num w:numId="29">
    <w:abstractNumId w:val="7"/>
  </w:num>
  <w:num w:numId="30">
    <w:abstractNumId w:val="10"/>
  </w:num>
  <w:num w:numId="31">
    <w:abstractNumId w:val="12"/>
  </w:num>
  <w:num w:numId="32">
    <w:abstractNumId w:val="38"/>
  </w:num>
  <w:num w:numId="33">
    <w:abstractNumId w:val="43"/>
  </w:num>
  <w:num w:numId="34">
    <w:abstractNumId w:val="3"/>
  </w:num>
  <w:num w:numId="35">
    <w:abstractNumId w:val="44"/>
  </w:num>
  <w:num w:numId="36">
    <w:abstractNumId w:val="11"/>
  </w:num>
  <w:num w:numId="37">
    <w:abstractNumId w:val="34"/>
  </w:num>
  <w:num w:numId="38">
    <w:abstractNumId w:val="5"/>
  </w:num>
  <w:num w:numId="39">
    <w:abstractNumId w:val="24"/>
  </w:num>
  <w:num w:numId="40">
    <w:abstractNumId w:val="15"/>
  </w:num>
  <w:num w:numId="41">
    <w:abstractNumId w:val="39"/>
  </w:num>
  <w:num w:numId="42">
    <w:abstractNumId w:val="22"/>
  </w:num>
  <w:num w:numId="43">
    <w:abstractNumId w:val="41"/>
  </w:num>
  <w:num w:numId="44">
    <w:abstractNumId w:val="2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61"/>
    <w:rsid w:val="00012E38"/>
    <w:rsid w:val="0004345D"/>
    <w:rsid w:val="00045E05"/>
    <w:rsid w:val="00074018"/>
    <w:rsid w:val="000842E4"/>
    <w:rsid w:val="00085E45"/>
    <w:rsid w:val="00086A68"/>
    <w:rsid w:val="00086FA7"/>
    <w:rsid w:val="000916EE"/>
    <w:rsid w:val="000F6C0A"/>
    <w:rsid w:val="00102F8E"/>
    <w:rsid w:val="001078A1"/>
    <w:rsid w:val="001530B1"/>
    <w:rsid w:val="00153124"/>
    <w:rsid w:val="00165D0C"/>
    <w:rsid w:val="001879BD"/>
    <w:rsid w:val="0019735E"/>
    <w:rsid w:val="001B6895"/>
    <w:rsid w:val="001E4D46"/>
    <w:rsid w:val="001F7A46"/>
    <w:rsid w:val="00204A54"/>
    <w:rsid w:val="00214528"/>
    <w:rsid w:val="00221EFA"/>
    <w:rsid w:val="00223389"/>
    <w:rsid w:val="00241E57"/>
    <w:rsid w:val="00285D60"/>
    <w:rsid w:val="002A5996"/>
    <w:rsid w:val="002C4EB4"/>
    <w:rsid w:val="002C66D3"/>
    <w:rsid w:val="002E78D7"/>
    <w:rsid w:val="00314FE2"/>
    <w:rsid w:val="003377F8"/>
    <w:rsid w:val="00362BC4"/>
    <w:rsid w:val="003646D1"/>
    <w:rsid w:val="00366077"/>
    <w:rsid w:val="00373B1B"/>
    <w:rsid w:val="003D33D1"/>
    <w:rsid w:val="003E3DD8"/>
    <w:rsid w:val="00400B22"/>
    <w:rsid w:val="00410154"/>
    <w:rsid w:val="004169FF"/>
    <w:rsid w:val="00420E3E"/>
    <w:rsid w:val="0044434E"/>
    <w:rsid w:val="00467374"/>
    <w:rsid w:val="00474D64"/>
    <w:rsid w:val="0047568F"/>
    <w:rsid w:val="004B3569"/>
    <w:rsid w:val="004B442A"/>
    <w:rsid w:val="004C5D9C"/>
    <w:rsid w:val="004D7B8C"/>
    <w:rsid w:val="0051119F"/>
    <w:rsid w:val="005213A8"/>
    <w:rsid w:val="00524508"/>
    <w:rsid w:val="005473F5"/>
    <w:rsid w:val="00557C08"/>
    <w:rsid w:val="00567C22"/>
    <w:rsid w:val="00571675"/>
    <w:rsid w:val="005A3FBC"/>
    <w:rsid w:val="005B6398"/>
    <w:rsid w:val="005F74A0"/>
    <w:rsid w:val="0061245E"/>
    <w:rsid w:val="00631428"/>
    <w:rsid w:val="0064694A"/>
    <w:rsid w:val="0065338E"/>
    <w:rsid w:val="006677D7"/>
    <w:rsid w:val="006832C8"/>
    <w:rsid w:val="00694954"/>
    <w:rsid w:val="006B2791"/>
    <w:rsid w:val="006B75F2"/>
    <w:rsid w:val="006C370D"/>
    <w:rsid w:val="006D7B89"/>
    <w:rsid w:val="006E0CCD"/>
    <w:rsid w:val="006E7714"/>
    <w:rsid w:val="00703440"/>
    <w:rsid w:val="00710581"/>
    <w:rsid w:val="00726DB4"/>
    <w:rsid w:val="00735E62"/>
    <w:rsid w:val="007553B4"/>
    <w:rsid w:val="00756321"/>
    <w:rsid w:val="0076071A"/>
    <w:rsid w:val="00767AE5"/>
    <w:rsid w:val="007710B1"/>
    <w:rsid w:val="00774656"/>
    <w:rsid w:val="00780CD7"/>
    <w:rsid w:val="00785407"/>
    <w:rsid w:val="007B1D2F"/>
    <w:rsid w:val="007B41AA"/>
    <w:rsid w:val="007B64DE"/>
    <w:rsid w:val="007C4706"/>
    <w:rsid w:val="007E2510"/>
    <w:rsid w:val="007E372B"/>
    <w:rsid w:val="007E4090"/>
    <w:rsid w:val="007F5BA4"/>
    <w:rsid w:val="0082704E"/>
    <w:rsid w:val="00854971"/>
    <w:rsid w:val="00856331"/>
    <w:rsid w:val="008565B0"/>
    <w:rsid w:val="0088563B"/>
    <w:rsid w:val="008B2BA6"/>
    <w:rsid w:val="008B4285"/>
    <w:rsid w:val="008C0898"/>
    <w:rsid w:val="008D0B04"/>
    <w:rsid w:val="008E41C4"/>
    <w:rsid w:val="008F4341"/>
    <w:rsid w:val="00917FDE"/>
    <w:rsid w:val="009322E6"/>
    <w:rsid w:val="0099318A"/>
    <w:rsid w:val="00996E2A"/>
    <w:rsid w:val="00997DD5"/>
    <w:rsid w:val="00997E15"/>
    <w:rsid w:val="009E4AF9"/>
    <w:rsid w:val="009F2683"/>
    <w:rsid w:val="009F77F7"/>
    <w:rsid w:val="00A07745"/>
    <w:rsid w:val="00A13492"/>
    <w:rsid w:val="00A67ADD"/>
    <w:rsid w:val="00A730B7"/>
    <w:rsid w:val="00A909C8"/>
    <w:rsid w:val="00AA3198"/>
    <w:rsid w:val="00AD072E"/>
    <w:rsid w:val="00AF40E9"/>
    <w:rsid w:val="00AF7B4E"/>
    <w:rsid w:val="00B00972"/>
    <w:rsid w:val="00B06AF4"/>
    <w:rsid w:val="00B20E9D"/>
    <w:rsid w:val="00B21CC0"/>
    <w:rsid w:val="00B275A6"/>
    <w:rsid w:val="00B4644B"/>
    <w:rsid w:val="00B5130D"/>
    <w:rsid w:val="00B743C3"/>
    <w:rsid w:val="00BC15E8"/>
    <w:rsid w:val="00BE6646"/>
    <w:rsid w:val="00C06120"/>
    <w:rsid w:val="00C159D1"/>
    <w:rsid w:val="00C32570"/>
    <w:rsid w:val="00C359FE"/>
    <w:rsid w:val="00C41661"/>
    <w:rsid w:val="00C60D95"/>
    <w:rsid w:val="00C6187C"/>
    <w:rsid w:val="00C93C5F"/>
    <w:rsid w:val="00CB03AF"/>
    <w:rsid w:val="00CB48D0"/>
    <w:rsid w:val="00D05361"/>
    <w:rsid w:val="00D20A90"/>
    <w:rsid w:val="00D224C8"/>
    <w:rsid w:val="00D43C06"/>
    <w:rsid w:val="00D63846"/>
    <w:rsid w:val="00D73C10"/>
    <w:rsid w:val="00D75597"/>
    <w:rsid w:val="00D97913"/>
    <w:rsid w:val="00DD0E86"/>
    <w:rsid w:val="00DD42B4"/>
    <w:rsid w:val="00DD75CA"/>
    <w:rsid w:val="00DE5F2A"/>
    <w:rsid w:val="00E22492"/>
    <w:rsid w:val="00E30F2F"/>
    <w:rsid w:val="00E43EB6"/>
    <w:rsid w:val="00E46447"/>
    <w:rsid w:val="00E6283F"/>
    <w:rsid w:val="00E65A37"/>
    <w:rsid w:val="00E70C18"/>
    <w:rsid w:val="00E72D3F"/>
    <w:rsid w:val="00E7624F"/>
    <w:rsid w:val="00E86ABF"/>
    <w:rsid w:val="00EB505C"/>
    <w:rsid w:val="00EC3977"/>
    <w:rsid w:val="00EF7DF9"/>
    <w:rsid w:val="00F04798"/>
    <w:rsid w:val="00F13E76"/>
    <w:rsid w:val="00F21949"/>
    <w:rsid w:val="00F358B6"/>
    <w:rsid w:val="00F42215"/>
    <w:rsid w:val="00F53F9C"/>
    <w:rsid w:val="00F679E1"/>
    <w:rsid w:val="00FB389E"/>
    <w:rsid w:val="00FC5F21"/>
    <w:rsid w:val="00FE4592"/>
    <w:rsid w:val="00FF70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F1C078-1B42-47E7-989D-754E118A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B89"/>
  </w:style>
  <w:style w:type="paragraph" w:styleId="Heading1">
    <w:name w:val="heading 1"/>
    <w:basedOn w:val="Normal"/>
    <w:next w:val="Normal"/>
    <w:link w:val="Heading1Char"/>
    <w:uiPriority w:val="9"/>
    <w:qFormat/>
    <w:rsid w:val="003646D1"/>
    <w:pPr>
      <w:keepNext/>
      <w:keepLines/>
      <w:spacing w:before="40" w:after="0" w:line="240" w:lineRule="auto"/>
      <w:ind w:left="-311"/>
      <w:jc w:val="center"/>
      <w:outlineLvl w:val="0"/>
    </w:pPr>
    <w:rPr>
      <w:rFonts w:ascii="Calibri Light" w:hAnsi="Calibri Light"/>
      <w:b/>
    </w:rPr>
  </w:style>
  <w:style w:type="paragraph" w:styleId="Heading2">
    <w:name w:val="heading 2"/>
    <w:basedOn w:val="Normal"/>
    <w:next w:val="Normal"/>
    <w:link w:val="Heading2Char"/>
    <w:uiPriority w:val="9"/>
    <w:unhideWhenUsed/>
    <w:qFormat/>
    <w:rsid w:val="002C66D3"/>
    <w:pPr>
      <w:keepNext/>
      <w:jc w:val="center"/>
      <w:outlineLvl w:val="1"/>
    </w:pPr>
    <w:rPr>
      <w:b/>
      <w:sz w:val="24"/>
    </w:rPr>
  </w:style>
  <w:style w:type="paragraph" w:styleId="Heading3">
    <w:name w:val="heading 3"/>
    <w:basedOn w:val="Normal"/>
    <w:next w:val="Normal"/>
    <w:link w:val="Heading3Char"/>
    <w:uiPriority w:val="9"/>
    <w:unhideWhenUsed/>
    <w:qFormat/>
    <w:rsid w:val="00CB03AF"/>
    <w:pPr>
      <w:keepNext/>
      <w:keepLines/>
      <w:spacing w:before="40" w:after="0" w:line="240" w:lineRule="auto"/>
      <w:ind w:left="175" w:hanging="283"/>
      <w:jc w:val="center"/>
      <w:outlineLvl w:val="2"/>
    </w:pPr>
    <w:rPr>
      <w:b/>
      <w:sz w:val="24"/>
    </w:rPr>
  </w:style>
  <w:style w:type="paragraph" w:styleId="Heading4">
    <w:name w:val="heading 4"/>
    <w:basedOn w:val="Normal"/>
    <w:next w:val="Normal"/>
    <w:link w:val="Heading4Char"/>
    <w:uiPriority w:val="9"/>
    <w:unhideWhenUsed/>
    <w:qFormat/>
    <w:rsid w:val="00CB03AF"/>
    <w:pPr>
      <w:keepNext/>
      <w:keepLines/>
      <w:spacing w:before="40" w:after="0" w:line="240" w:lineRule="auto"/>
      <w:ind w:left="175" w:hanging="283"/>
      <w:jc w:val="center"/>
      <w:outlineLvl w:val="3"/>
    </w:pPr>
    <w:rPr>
      <w:b/>
    </w:rPr>
  </w:style>
  <w:style w:type="paragraph" w:styleId="Heading5">
    <w:name w:val="heading 5"/>
    <w:basedOn w:val="Normal"/>
    <w:next w:val="Normal"/>
    <w:link w:val="Heading5Char"/>
    <w:uiPriority w:val="9"/>
    <w:unhideWhenUsed/>
    <w:qFormat/>
    <w:rsid w:val="00A13492"/>
    <w:pPr>
      <w:keepNext/>
      <w:spacing w:after="0" w:line="240" w:lineRule="auto"/>
      <w:jc w:val="center"/>
      <w:outlineLvl w:val="4"/>
    </w:pPr>
    <w:rPr>
      <w:rFonts w:ascii="Arial" w:hAnsi="Arial" w:cs="Arial"/>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661"/>
    <w:rPr>
      <w:rFonts w:ascii="Tahoma" w:hAnsi="Tahoma" w:cs="Tahoma"/>
      <w:sz w:val="16"/>
      <w:szCs w:val="16"/>
    </w:rPr>
  </w:style>
  <w:style w:type="table" w:styleId="TableGrid">
    <w:name w:val="Table Grid"/>
    <w:basedOn w:val="TableNormal"/>
    <w:uiPriority w:val="59"/>
    <w:rsid w:val="00C41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2C8"/>
    <w:pPr>
      <w:ind w:left="720"/>
      <w:contextualSpacing/>
    </w:pPr>
  </w:style>
  <w:style w:type="character" w:customStyle="1" w:styleId="s4">
    <w:name w:val="s4"/>
    <w:basedOn w:val="DefaultParagraphFont"/>
    <w:rsid w:val="00DD75CA"/>
  </w:style>
  <w:style w:type="paragraph" w:styleId="Header">
    <w:name w:val="header"/>
    <w:basedOn w:val="Normal"/>
    <w:link w:val="HeaderChar"/>
    <w:uiPriority w:val="99"/>
    <w:unhideWhenUsed/>
    <w:rsid w:val="00DD7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5CA"/>
  </w:style>
  <w:style w:type="paragraph" w:styleId="Footer">
    <w:name w:val="footer"/>
    <w:basedOn w:val="Normal"/>
    <w:link w:val="FooterChar"/>
    <w:uiPriority w:val="99"/>
    <w:unhideWhenUsed/>
    <w:rsid w:val="00DD7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5CA"/>
  </w:style>
  <w:style w:type="character" w:styleId="CommentReference">
    <w:name w:val="annotation reference"/>
    <w:basedOn w:val="DefaultParagraphFont"/>
    <w:uiPriority w:val="99"/>
    <w:semiHidden/>
    <w:unhideWhenUsed/>
    <w:rsid w:val="00C93C5F"/>
    <w:rPr>
      <w:sz w:val="16"/>
      <w:szCs w:val="16"/>
    </w:rPr>
  </w:style>
  <w:style w:type="paragraph" w:styleId="CommentText">
    <w:name w:val="annotation text"/>
    <w:basedOn w:val="Normal"/>
    <w:link w:val="CommentTextChar"/>
    <w:uiPriority w:val="99"/>
    <w:semiHidden/>
    <w:unhideWhenUsed/>
    <w:rsid w:val="00C93C5F"/>
    <w:pPr>
      <w:spacing w:line="240" w:lineRule="auto"/>
    </w:pPr>
    <w:rPr>
      <w:sz w:val="20"/>
      <w:szCs w:val="20"/>
    </w:rPr>
  </w:style>
  <w:style w:type="character" w:customStyle="1" w:styleId="CommentTextChar">
    <w:name w:val="Comment Text Char"/>
    <w:basedOn w:val="DefaultParagraphFont"/>
    <w:link w:val="CommentText"/>
    <w:uiPriority w:val="99"/>
    <w:semiHidden/>
    <w:rsid w:val="00C93C5F"/>
    <w:rPr>
      <w:sz w:val="20"/>
      <w:szCs w:val="20"/>
    </w:rPr>
  </w:style>
  <w:style w:type="paragraph" w:styleId="CommentSubject">
    <w:name w:val="annotation subject"/>
    <w:basedOn w:val="CommentText"/>
    <w:next w:val="CommentText"/>
    <w:link w:val="CommentSubjectChar"/>
    <w:uiPriority w:val="99"/>
    <w:semiHidden/>
    <w:unhideWhenUsed/>
    <w:rsid w:val="00C93C5F"/>
    <w:rPr>
      <w:b/>
      <w:bCs/>
    </w:rPr>
  </w:style>
  <w:style w:type="character" w:customStyle="1" w:styleId="CommentSubjectChar">
    <w:name w:val="Comment Subject Char"/>
    <w:basedOn w:val="CommentTextChar"/>
    <w:link w:val="CommentSubject"/>
    <w:uiPriority w:val="99"/>
    <w:semiHidden/>
    <w:rsid w:val="00C93C5F"/>
    <w:rPr>
      <w:b/>
      <w:bCs/>
      <w:sz w:val="20"/>
      <w:szCs w:val="20"/>
    </w:rPr>
  </w:style>
  <w:style w:type="character" w:customStyle="1" w:styleId="Heading1Char">
    <w:name w:val="Heading 1 Char"/>
    <w:basedOn w:val="DefaultParagraphFont"/>
    <w:link w:val="Heading1"/>
    <w:uiPriority w:val="9"/>
    <w:rsid w:val="003646D1"/>
    <w:rPr>
      <w:rFonts w:ascii="Calibri Light" w:hAnsi="Calibri Light"/>
      <w:b/>
    </w:rPr>
  </w:style>
  <w:style w:type="character" w:customStyle="1" w:styleId="Heading2Char">
    <w:name w:val="Heading 2 Char"/>
    <w:basedOn w:val="DefaultParagraphFont"/>
    <w:link w:val="Heading2"/>
    <w:uiPriority w:val="9"/>
    <w:rsid w:val="002C66D3"/>
    <w:rPr>
      <w:b/>
      <w:sz w:val="24"/>
    </w:rPr>
  </w:style>
  <w:style w:type="character" w:customStyle="1" w:styleId="Heading3Char">
    <w:name w:val="Heading 3 Char"/>
    <w:basedOn w:val="DefaultParagraphFont"/>
    <w:link w:val="Heading3"/>
    <w:uiPriority w:val="9"/>
    <w:rsid w:val="00CB03AF"/>
    <w:rPr>
      <w:b/>
      <w:sz w:val="24"/>
    </w:rPr>
  </w:style>
  <w:style w:type="character" w:customStyle="1" w:styleId="Heading4Char">
    <w:name w:val="Heading 4 Char"/>
    <w:basedOn w:val="DefaultParagraphFont"/>
    <w:link w:val="Heading4"/>
    <w:uiPriority w:val="9"/>
    <w:rsid w:val="00CB03AF"/>
    <w:rPr>
      <w:b/>
    </w:rPr>
  </w:style>
  <w:style w:type="character" w:customStyle="1" w:styleId="Heading5Char">
    <w:name w:val="Heading 5 Char"/>
    <w:basedOn w:val="DefaultParagraphFont"/>
    <w:link w:val="Heading5"/>
    <w:uiPriority w:val="9"/>
    <w:rsid w:val="00A13492"/>
    <w:rPr>
      <w:rFonts w:ascii="Arial" w:hAnsi="Arial" w:cs="Arial"/>
      <w:b/>
      <w:lang w:eastAsia="en-GB"/>
    </w:rPr>
  </w:style>
  <w:style w:type="paragraph" w:styleId="BodyText">
    <w:name w:val="Body Text"/>
    <w:basedOn w:val="Normal"/>
    <w:link w:val="BodyTextChar"/>
    <w:uiPriority w:val="99"/>
    <w:unhideWhenUsed/>
    <w:rsid w:val="00204A54"/>
    <w:rPr>
      <w:sz w:val="20"/>
      <w:szCs w:val="20"/>
    </w:rPr>
  </w:style>
  <w:style w:type="character" w:customStyle="1" w:styleId="BodyTextChar">
    <w:name w:val="Body Text Char"/>
    <w:basedOn w:val="DefaultParagraphFont"/>
    <w:link w:val="BodyText"/>
    <w:uiPriority w:val="99"/>
    <w:rsid w:val="00204A54"/>
    <w:rPr>
      <w:sz w:val="20"/>
      <w:szCs w:val="20"/>
    </w:rPr>
  </w:style>
  <w:style w:type="paragraph" w:styleId="BodyTextIndent">
    <w:name w:val="Body Text Indent"/>
    <w:basedOn w:val="Normal"/>
    <w:link w:val="BodyTextIndentChar"/>
    <w:uiPriority w:val="99"/>
    <w:unhideWhenUsed/>
    <w:rsid w:val="00204A54"/>
    <w:pPr>
      <w:keepNext/>
      <w:keepLines/>
      <w:spacing w:before="40" w:after="0" w:line="240" w:lineRule="auto"/>
      <w:ind w:left="81"/>
      <w:outlineLvl w:val="1"/>
    </w:pPr>
    <w:rPr>
      <w:i/>
    </w:rPr>
  </w:style>
  <w:style w:type="character" w:customStyle="1" w:styleId="BodyTextIndentChar">
    <w:name w:val="Body Text Indent Char"/>
    <w:basedOn w:val="DefaultParagraphFont"/>
    <w:link w:val="BodyTextIndent"/>
    <w:uiPriority w:val="99"/>
    <w:rsid w:val="00204A54"/>
    <w:rPr>
      <w:i/>
    </w:rPr>
  </w:style>
  <w:style w:type="paragraph" w:styleId="Title">
    <w:name w:val="Title"/>
    <w:basedOn w:val="Normal"/>
    <w:next w:val="Normal"/>
    <w:link w:val="TitleChar"/>
    <w:uiPriority w:val="10"/>
    <w:qFormat/>
    <w:rsid w:val="0065338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65338E"/>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65338E"/>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5338E"/>
    <w:rPr>
      <w:rFonts w:eastAsiaTheme="minorEastAsia" w:cs="Times New Roman"/>
      <w:color w:val="5A5A5A" w:themeColor="text1" w:themeTint="A5"/>
      <w:spacing w:val="15"/>
      <w:lang w:val="en-US"/>
    </w:rPr>
  </w:style>
  <w:style w:type="paragraph" w:customStyle="1" w:styleId="Default">
    <w:name w:val="Default"/>
    <w:rsid w:val="00B20E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3DBFC-63AB-4CD9-8BA0-9817D75B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Louisa Butt</dc:creator>
  <cp:lastModifiedBy>Emma Such</cp:lastModifiedBy>
  <cp:revision>2</cp:revision>
  <cp:lastPrinted>2017-10-05T13:57:00Z</cp:lastPrinted>
  <dcterms:created xsi:type="dcterms:W3CDTF">2018-09-05T13:36:00Z</dcterms:created>
  <dcterms:modified xsi:type="dcterms:W3CDTF">2018-09-05T13:36:00Z</dcterms:modified>
</cp:coreProperties>
</file>